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41E1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3A8F9758">
      <w:pPr>
        <w:pStyle w:val="2"/>
        <w:spacing w:line="251" w:lineRule="auto"/>
      </w:pPr>
    </w:p>
    <w:p w14:paraId="473EC96C">
      <w:pPr>
        <w:pStyle w:val="2"/>
        <w:spacing w:line="251" w:lineRule="auto"/>
      </w:pPr>
    </w:p>
    <w:p w14:paraId="33BEA478">
      <w:pPr>
        <w:pStyle w:val="2"/>
        <w:spacing w:line="252" w:lineRule="auto"/>
      </w:pPr>
    </w:p>
    <w:p w14:paraId="7907BE61">
      <w:pPr>
        <w:pStyle w:val="2"/>
        <w:spacing w:line="252" w:lineRule="auto"/>
      </w:pPr>
    </w:p>
    <w:p w14:paraId="635DB378">
      <w:pPr>
        <w:pStyle w:val="2"/>
        <w:spacing w:line="252" w:lineRule="auto"/>
      </w:pPr>
    </w:p>
    <w:p w14:paraId="15DF57A7">
      <w:pPr>
        <w:pStyle w:val="2"/>
        <w:spacing w:line="252" w:lineRule="auto"/>
      </w:pPr>
    </w:p>
    <w:p w14:paraId="6EBA368E">
      <w:pPr>
        <w:pStyle w:val="2"/>
        <w:spacing w:line="252" w:lineRule="auto"/>
      </w:pPr>
    </w:p>
    <w:p w14:paraId="53A52EB2">
      <w:pPr>
        <w:pStyle w:val="2"/>
        <w:spacing w:line="252" w:lineRule="auto"/>
      </w:pPr>
    </w:p>
    <w:p w14:paraId="6603029A">
      <w:pPr>
        <w:pStyle w:val="2"/>
        <w:spacing w:line="252" w:lineRule="auto"/>
      </w:pPr>
    </w:p>
    <w:p w14:paraId="674B5491">
      <w:pPr>
        <w:pStyle w:val="2"/>
        <w:spacing w:line="252" w:lineRule="auto"/>
      </w:pPr>
    </w:p>
    <w:p w14:paraId="2E60D41C">
      <w:pPr>
        <w:pStyle w:val="2"/>
        <w:spacing w:line="252" w:lineRule="auto"/>
      </w:pPr>
    </w:p>
    <w:p w14:paraId="64AD7929">
      <w:pPr>
        <w:pStyle w:val="2"/>
        <w:spacing w:line="252" w:lineRule="auto"/>
      </w:pPr>
    </w:p>
    <w:p w14:paraId="3262460F">
      <w:pPr>
        <w:pStyle w:val="2"/>
        <w:spacing w:line="252" w:lineRule="auto"/>
      </w:pPr>
    </w:p>
    <w:p w14:paraId="78AB15CC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</w:rPr>
        <w:t>年度</w:t>
      </w:r>
    </w:p>
    <w:p w14:paraId="24D51FCB">
      <w:pPr>
        <w:spacing w:before="189" w:line="181" w:lineRule="auto"/>
        <w:rPr>
          <w:rFonts w:hint="eastAsia" w:ascii="微软雅黑" w:hAnsi="微软雅黑" w:eastAsia="微软雅黑" w:cs="微软雅黑"/>
          <w:spacing w:val="34"/>
          <w:sz w:val="44"/>
          <w:szCs w:val="44"/>
        </w:rPr>
      </w:pPr>
    </w:p>
    <w:p w14:paraId="4B2AB86D">
      <w:pPr>
        <w:spacing w:before="189" w:line="181" w:lineRule="auto"/>
        <w:ind w:firstLine="428" w:firstLineChars="100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pacing w:val="34"/>
          <w:sz w:val="36"/>
          <w:szCs w:val="36"/>
        </w:rPr>
        <w:t>中共长春市南关区委统一战线工作部</w:t>
      </w:r>
      <w:r>
        <w:rPr>
          <w:rFonts w:ascii="微软雅黑" w:hAnsi="微软雅黑" w:eastAsia="微软雅黑" w:cs="微软雅黑"/>
          <w:spacing w:val="34"/>
          <w:sz w:val="36"/>
          <w:szCs w:val="36"/>
        </w:rPr>
        <w:t>部门决算</w:t>
      </w:r>
    </w:p>
    <w:p w14:paraId="43F2E7E4">
      <w:pPr>
        <w:pStyle w:val="2"/>
        <w:spacing w:line="242" w:lineRule="auto"/>
      </w:pPr>
    </w:p>
    <w:p w14:paraId="0717B0BA">
      <w:pPr>
        <w:pStyle w:val="2"/>
        <w:spacing w:line="242" w:lineRule="auto"/>
      </w:pPr>
    </w:p>
    <w:p w14:paraId="4E71AD4C">
      <w:pPr>
        <w:pStyle w:val="2"/>
        <w:spacing w:line="242" w:lineRule="auto"/>
      </w:pPr>
    </w:p>
    <w:p w14:paraId="34B80542">
      <w:pPr>
        <w:pStyle w:val="2"/>
        <w:spacing w:line="242" w:lineRule="auto"/>
      </w:pPr>
    </w:p>
    <w:p w14:paraId="43666FF1">
      <w:pPr>
        <w:pStyle w:val="2"/>
        <w:spacing w:line="242" w:lineRule="auto"/>
      </w:pPr>
    </w:p>
    <w:p w14:paraId="2CCA4BC4">
      <w:pPr>
        <w:pStyle w:val="2"/>
        <w:spacing w:line="242" w:lineRule="auto"/>
      </w:pPr>
    </w:p>
    <w:p w14:paraId="52F413B2">
      <w:pPr>
        <w:pStyle w:val="2"/>
        <w:spacing w:line="242" w:lineRule="auto"/>
      </w:pPr>
    </w:p>
    <w:p w14:paraId="7C850BE7">
      <w:pPr>
        <w:pStyle w:val="2"/>
        <w:spacing w:line="242" w:lineRule="auto"/>
      </w:pPr>
    </w:p>
    <w:p w14:paraId="39FF91A3">
      <w:pPr>
        <w:pStyle w:val="2"/>
        <w:spacing w:line="242" w:lineRule="auto"/>
      </w:pPr>
    </w:p>
    <w:p w14:paraId="02BAD37C">
      <w:pPr>
        <w:pStyle w:val="2"/>
        <w:spacing w:line="242" w:lineRule="auto"/>
      </w:pPr>
    </w:p>
    <w:p w14:paraId="659A28D3">
      <w:pPr>
        <w:pStyle w:val="2"/>
        <w:spacing w:line="242" w:lineRule="auto"/>
      </w:pPr>
    </w:p>
    <w:p w14:paraId="6BBDBEFF">
      <w:pPr>
        <w:pStyle w:val="2"/>
        <w:spacing w:line="243" w:lineRule="auto"/>
      </w:pPr>
    </w:p>
    <w:p w14:paraId="5E6B4639">
      <w:pPr>
        <w:pStyle w:val="2"/>
        <w:spacing w:line="243" w:lineRule="auto"/>
      </w:pPr>
    </w:p>
    <w:p w14:paraId="0B7C5FBF">
      <w:pPr>
        <w:pStyle w:val="2"/>
        <w:spacing w:line="243" w:lineRule="auto"/>
      </w:pPr>
    </w:p>
    <w:p w14:paraId="6950CEEA">
      <w:pPr>
        <w:pStyle w:val="2"/>
        <w:spacing w:line="243" w:lineRule="auto"/>
      </w:pPr>
    </w:p>
    <w:p w14:paraId="68278EA9">
      <w:pPr>
        <w:pStyle w:val="2"/>
        <w:spacing w:line="243" w:lineRule="auto"/>
      </w:pPr>
    </w:p>
    <w:p w14:paraId="12C16E73">
      <w:pPr>
        <w:pStyle w:val="2"/>
        <w:spacing w:line="243" w:lineRule="auto"/>
      </w:pPr>
    </w:p>
    <w:p w14:paraId="21934831">
      <w:pPr>
        <w:pStyle w:val="2"/>
        <w:spacing w:line="243" w:lineRule="auto"/>
      </w:pPr>
    </w:p>
    <w:p w14:paraId="6C3D7E74">
      <w:pPr>
        <w:pStyle w:val="2"/>
        <w:spacing w:line="243" w:lineRule="auto"/>
      </w:pPr>
    </w:p>
    <w:p w14:paraId="3CFAFEC6">
      <w:pPr>
        <w:pStyle w:val="2"/>
        <w:spacing w:line="243" w:lineRule="auto"/>
      </w:pPr>
    </w:p>
    <w:p w14:paraId="09C2CBB1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05AAB0D9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5BFEBB1">
      <w:pPr>
        <w:pStyle w:val="2"/>
        <w:spacing w:line="289" w:lineRule="auto"/>
      </w:pPr>
    </w:p>
    <w:p w14:paraId="5FF13ADC">
      <w:pPr>
        <w:pStyle w:val="2"/>
        <w:spacing w:line="290" w:lineRule="auto"/>
      </w:pPr>
    </w:p>
    <w:p w14:paraId="746E0B1E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04F378C6">
      <w:pPr>
        <w:pStyle w:val="2"/>
        <w:spacing w:line="341" w:lineRule="auto"/>
      </w:pPr>
    </w:p>
    <w:p w14:paraId="274B235F">
      <w:pPr>
        <w:pStyle w:val="2"/>
        <w:spacing w:line="342" w:lineRule="auto"/>
      </w:pPr>
    </w:p>
    <w:p w14:paraId="37042146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2C80AD89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3ED18BE6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4657BD07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415E5F81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252F0CC6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6CEDDFFC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0D7C3F8C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78D11260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2A82EC9E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0FA81B61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16B6C6FC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22EC7048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5791669B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60CAEF2E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70EC49BC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584E919F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1A19687D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44A7A50E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1F0D1B64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BD0E71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474D364C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0C38A94E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504178AD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4A5D5616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272E96C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1342AF8F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3228391D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3700B1D6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0F06FE3A">
      <w:pPr>
        <w:pStyle w:val="2"/>
        <w:spacing w:line="328" w:lineRule="auto"/>
      </w:pPr>
    </w:p>
    <w:p w14:paraId="36C2F5CB">
      <w:pPr>
        <w:pStyle w:val="2"/>
        <w:spacing w:line="328" w:lineRule="auto"/>
      </w:pPr>
    </w:p>
    <w:p w14:paraId="0B1BF5DA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5DDAC455">
      <w:pPr>
        <w:pStyle w:val="2"/>
        <w:spacing w:line="314" w:lineRule="auto"/>
      </w:pPr>
    </w:p>
    <w:p w14:paraId="69E1009A">
      <w:pPr>
        <w:pStyle w:val="2"/>
        <w:spacing w:line="314" w:lineRule="auto"/>
      </w:pPr>
    </w:p>
    <w:p w14:paraId="756EA20D">
      <w:pPr>
        <w:pStyle w:val="2"/>
        <w:spacing w:line="315" w:lineRule="auto"/>
      </w:pPr>
    </w:p>
    <w:p w14:paraId="24B997D9">
      <w:pPr>
        <w:spacing w:before="101" w:line="224" w:lineRule="auto"/>
        <w:ind w:left="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一、部门主要职责</w:t>
      </w:r>
    </w:p>
    <w:p w14:paraId="20E59ECF">
      <w:pPr>
        <w:pStyle w:val="2"/>
        <w:spacing w:line="347" w:lineRule="auto"/>
      </w:pPr>
    </w:p>
    <w:p w14:paraId="138264B7">
      <w:pPr>
        <w:pStyle w:val="3"/>
        <w:spacing w:before="0" w:beforeAutospacing="0" w:after="0" w:afterAutospacing="0" w:line="360" w:lineRule="auto"/>
        <w:ind w:firstLine="645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（一）贯彻、执行党的统一战线理论和方针、政策，贯彻落实区委有关指示及部署，开展调查研究，向区委反映情况并提出开展统战工作的意见和建议；检查统战政策执行情况，协调统一战线各方面的关系。</w:t>
      </w:r>
    </w:p>
    <w:p w14:paraId="1CCB631B">
      <w:pPr>
        <w:pStyle w:val="3"/>
        <w:spacing w:before="0" w:beforeAutospacing="0" w:after="0" w:afterAutospacing="0" w:line="360" w:lineRule="auto"/>
        <w:ind w:firstLine="645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二）负责联系各民主党派和无党派人士，反映他们的意见和建议；宣传、贯彻党领导的多党合作和政治协商制度以及党对民主党派的方针、政策、区市委同民主党派进行政治协商和互相监督，支持和帮助各民主党派加强建设。</w:t>
      </w:r>
    </w:p>
    <w:p w14:paraId="60F35548">
      <w:pPr>
        <w:pStyle w:val="3"/>
        <w:spacing w:before="0" w:beforeAutospacing="0" w:after="0" w:afterAutospacing="0" w:line="360" w:lineRule="auto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三）负责调查研究、协调检查有关民族和宗教工作方针、政策的贯彻落实情况；联系少数民族和宗教界的代表人物；协助有关部门做好少数民族干部的培养和举荐工作；协调有关部门开展对国内外敌对势力分裂祖国活动的斗争。</w:t>
      </w:r>
    </w:p>
    <w:p w14:paraId="7D9EE52C">
      <w:pPr>
        <w:pStyle w:val="3"/>
        <w:spacing w:before="0" w:beforeAutospacing="0" w:after="0" w:afterAutospacing="0" w:line="360" w:lineRule="auto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（四）负责开展以祖国统一为重点的海外统战工作；联系香港、澳门和海外社团及代表人士，协调有关方面做好他们在国内的眷属和亲友工作。</w:t>
      </w:r>
    </w:p>
    <w:p w14:paraId="2C36E3F9">
      <w:pPr>
        <w:pStyle w:val="3"/>
        <w:spacing w:before="0" w:beforeAutospacing="0" w:after="0" w:afterAutospacing="0" w:line="360" w:lineRule="auto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五）负责党外人士的政治安排；会同有关部门做好培养、考察、选拔、推荐、安排党外人士担任政府和司法机关领导职务的工作；做好党外后备干部和新的代表人物队伍的建设工作；协助区级各民主党派、工商联做好干部管理工作。</w:t>
      </w:r>
    </w:p>
    <w:p w14:paraId="080F04AD">
      <w:pPr>
        <w:pStyle w:val="3"/>
        <w:spacing w:before="0" w:beforeAutospacing="0" w:after="0" w:afterAutospacing="0" w:line="360" w:lineRule="auto"/>
        <w:ind w:firstLine="480" w:firstLineChars="15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（六）联系党外知识分子代表人物，调查研究党外知识分子情况，反映意见，协调关系，提出政策建议。</w:t>
      </w:r>
    </w:p>
    <w:p w14:paraId="2A761C9E">
      <w:pPr>
        <w:pStyle w:val="3"/>
        <w:spacing w:before="0" w:beforeAutospacing="0" w:after="0" w:afterAutospacing="0" w:line="360" w:lineRule="auto"/>
        <w:ind w:firstLine="480" w:firstLineChars="15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七）开展经济领域的统战工作、联系非公有制经济代表人士，了解掌握非公有制经济代表人物思想动态，反映情况，协调联系，提出政策建议；团结、帮助、引导、教育非公有制经济代表人士，做好思想政治工作。</w:t>
      </w:r>
    </w:p>
    <w:p w14:paraId="6198FA8D">
      <w:pPr>
        <w:pStyle w:val="3"/>
        <w:spacing w:before="0" w:beforeAutospacing="0" w:after="0" w:afterAutospacing="0" w:line="360" w:lineRule="auto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八）贯彻执行党中央、国务院有关对台工作的方针、政策，调查研究对台工作中的重要问题，向区委、区政府提出开展对台工作的建议；协调和指导涉台事务；负责对台宣传和与台湾有关人物的联系工作；组织涉台有关活动，处理涉台有关事件；做好台胞、台属的有关工作。</w:t>
      </w:r>
    </w:p>
    <w:p w14:paraId="6AA1046A">
      <w:pPr>
        <w:pStyle w:val="3"/>
        <w:spacing w:before="0" w:beforeAutospacing="0" w:after="0" w:afterAutospacing="0" w:line="360" w:lineRule="auto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（九）指导区内各党委及其</w:t>
      </w:r>
      <w:r>
        <w:rPr>
          <w:rFonts w:hint="eastAsia" w:ascii="仿宋_GB2312" w:hAnsi="仿宋" w:eastAsia="仿宋_GB2312" w:cs="Times New Roman"/>
          <w:kern w:val="2"/>
          <w:sz w:val="32"/>
          <w:szCs w:val="20"/>
          <w:lang w:eastAsia="zh-CN"/>
        </w:rPr>
        <w:t>他</w:t>
      </w: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企事业单位的统战工作，协调政府有关部门的统战工作；受区委委托，领导区工商联党组；联系、指导区工商联、台办、区海外联谊会等有关人民团体工作。</w:t>
      </w:r>
    </w:p>
    <w:p w14:paraId="27F12902">
      <w:pPr>
        <w:pStyle w:val="3"/>
        <w:spacing w:before="0" w:beforeAutospacing="0" w:after="0" w:afterAutospacing="0" w:line="360" w:lineRule="auto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（十）负责协调政协换届前的人</w:t>
      </w:r>
      <w:r>
        <w:rPr>
          <w:rFonts w:hint="eastAsia" w:ascii="仿宋_GB2312" w:hAnsi="仿宋" w:eastAsia="仿宋_GB2312" w:cs="Times New Roman"/>
          <w:kern w:val="2"/>
          <w:sz w:val="32"/>
          <w:szCs w:val="20"/>
          <w:lang w:eastAsia="zh-CN"/>
        </w:rPr>
        <w:t>事</w:t>
      </w: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安排及汇总工作；届中政协委员人事变动、考核、提名；届中政协委员下调增补工作的考核</w:t>
      </w:r>
      <w:r>
        <w:rPr>
          <w:rFonts w:hint="eastAsia" w:ascii="仿宋_GB2312" w:hAnsi="仿宋" w:eastAsia="仿宋_GB2312" w:cs="Times New Roman"/>
          <w:kern w:val="2"/>
          <w:sz w:val="32"/>
          <w:szCs w:val="20"/>
          <w:lang w:eastAsia="zh-CN"/>
        </w:rPr>
        <w:t>提</w:t>
      </w: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名；届中政协委员的培训、管理、教育工作。</w:t>
      </w:r>
    </w:p>
    <w:p w14:paraId="27B980FB">
      <w:pPr>
        <w:spacing w:before="251" w:line="360" w:lineRule="auto"/>
        <w:ind w:left="672"/>
        <w:rPr>
          <w:rFonts w:hint="eastAsia" w:ascii="仿宋_GB2312" w:hAnsi="仿宋" w:eastAsia="仿宋_GB2312" w:cs="Times New Roman"/>
          <w:kern w:val="2"/>
          <w:sz w:val="32"/>
          <w:szCs w:val="20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（十一）承办区委交办的其</w:t>
      </w:r>
      <w:r>
        <w:rPr>
          <w:rFonts w:hint="eastAsia" w:ascii="仿宋_GB2312" w:hAnsi="仿宋" w:eastAsia="仿宋_GB2312" w:cs="Times New Roman"/>
          <w:kern w:val="2"/>
          <w:sz w:val="32"/>
          <w:szCs w:val="20"/>
          <w:lang w:eastAsia="zh-CN"/>
        </w:rPr>
        <w:t>他</w:t>
      </w:r>
      <w:r>
        <w:rPr>
          <w:rFonts w:hint="eastAsia" w:ascii="仿宋_GB2312" w:hAnsi="仿宋" w:eastAsia="仿宋_GB2312" w:cs="Times New Roman"/>
          <w:kern w:val="2"/>
          <w:sz w:val="32"/>
          <w:szCs w:val="20"/>
        </w:rPr>
        <w:t>工作任务。</w:t>
      </w:r>
    </w:p>
    <w:p w14:paraId="42A140B3">
      <w:pPr>
        <w:spacing w:before="251" w:line="360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5BD45128"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根据上述职责，</w:t>
      </w:r>
      <w:r>
        <w:rPr>
          <w:rFonts w:hint="eastAsia" w:ascii="仿宋_GB2312" w:hAnsi="仿宋" w:eastAsia="仿宋_GB2312"/>
          <w:sz w:val="32"/>
          <w:szCs w:val="30"/>
        </w:rPr>
        <w:t>中共长春市南关区委统一战线工作部</w:t>
      </w:r>
      <w:r>
        <w:rPr>
          <w:rFonts w:hint="eastAsia" w:ascii="仿宋_GB2312" w:hAnsi="仿宋" w:eastAsia="仿宋_GB2312"/>
          <w:sz w:val="32"/>
        </w:rPr>
        <w:t>内设机构和人员编制行政编制</w:t>
      </w:r>
      <w:r>
        <w:rPr>
          <w:rFonts w:hint="eastAsia" w:ascii="仿宋_GB2312" w:hAnsi="仿宋" w:eastAsia="仿宋_GB2312"/>
          <w:sz w:val="32"/>
          <w:highlight w:val="none"/>
        </w:rPr>
        <w:t>6名，</w:t>
      </w:r>
      <w:r>
        <w:rPr>
          <w:rFonts w:hint="eastAsia" w:ascii="仿宋_GB2312" w:hAnsi="仿宋" w:eastAsia="仿宋_GB2312"/>
          <w:sz w:val="32"/>
          <w:highlight w:val="none"/>
          <w:lang w:val="en-US" w:eastAsia="zh-CN"/>
        </w:rPr>
        <w:t>为行政编制</w:t>
      </w:r>
      <w:r>
        <w:rPr>
          <w:rFonts w:hint="eastAsia" w:ascii="仿宋_GB2312" w:hAnsi="仿宋" w:eastAsia="仿宋_GB2312"/>
          <w:sz w:val="32"/>
          <w:highlight w:val="none"/>
        </w:rPr>
        <w:t>,其中部长1人(区委常委、统战部部长)、副部长2人(其中常务副部长1人</w:t>
      </w:r>
      <w:r>
        <w:rPr>
          <w:rFonts w:hint="eastAsia" w:ascii="仿宋_GB2312" w:hAnsi="仿宋" w:eastAsia="仿宋_GB2312"/>
          <w:sz w:val="32"/>
          <w:highlight w:val="none"/>
          <w:lang w:eastAsia="zh-CN"/>
        </w:rPr>
        <w:t>，</w:t>
      </w:r>
      <w:r>
        <w:rPr>
          <w:rFonts w:hint="eastAsia" w:ascii="仿宋_GB2312" w:hAnsi="仿宋" w:eastAsia="仿宋_GB2312"/>
          <w:sz w:val="32"/>
          <w:highlight w:val="none"/>
        </w:rPr>
        <w:t>兼任工商联党组书记);内设机构1个,内设机构领导职数1名(正科级)。</w:t>
      </w:r>
    </w:p>
    <w:p w14:paraId="501A5239">
      <w:pPr>
        <w:spacing w:before="251" w:line="368" w:lineRule="auto"/>
        <w:ind w:left="21" w:firstLine="645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hint="eastAsia" w:ascii="仿宋" w:hAnsi="仿宋" w:eastAsia="仿宋" w:cs="仿宋"/>
          <w:spacing w:val="7"/>
          <w:sz w:val="31"/>
          <w:szCs w:val="31"/>
        </w:rPr>
        <w:t>纳入中共长春市南关区属</w:t>
      </w:r>
      <w:r>
        <w:rPr>
          <w:rFonts w:ascii="仿宋" w:hAnsi="仿宋" w:eastAsia="仿宋" w:cs="仿宋"/>
          <w:spacing w:val="7"/>
          <w:sz w:val="31"/>
          <w:szCs w:val="31"/>
        </w:rPr>
        <w:t>纳入</w:t>
      </w:r>
      <w:r>
        <w:rPr>
          <w:rFonts w:hint="eastAsia" w:ascii="仿宋_GB2312" w:hAnsi="仿宋" w:eastAsia="仿宋_GB2312"/>
          <w:sz w:val="32"/>
          <w:szCs w:val="30"/>
        </w:rPr>
        <w:t>中共长春市南关区委统一战线工作部</w:t>
      </w:r>
      <w:r>
        <w:rPr>
          <w:rFonts w:ascii="仿宋" w:hAnsi="仿宋" w:eastAsia="仿宋" w:cs="仿宋"/>
          <w:spacing w:val="7"/>
          <w:sz w:val="31"/>
          <w:szCs w:val="31"/>
        </w:rPr>
        <w:t>2023年度部门决算编制范围的单位包括：</w:t>
      </w:r>
    </w:p>
    <w:p w14:paraId="07707239">
      <w:pPr>
        <w:spacing w:before="251" w:line="368" w:lineRule="auto"/>
        <w:ind w:left="21" w:firstLine="645"/>
        <w:rPr>
          <w:rFonts w:hint="default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default" w:ascii="仿宋" w:hAnsi="仿宋" w:eastAsia="仿宋" w:cs="仿宋"/>
          <w:spacing w:val="7"/>
          <w:sz w:val="31"/>
          <w:szCs w:val="31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0"/>
        </w:rPr>
        <w:t>中共长春市南关区委统一战线工作部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（本级）。</w:t>
      </w:r>
    </w:p>
    <w:p w14:paraId="417765EF"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highlight w:val="yellow"/>
        </w:rPr>
      </w:pPr>
    </w:p>
    <w:p w14:paraId="51F5A71F">
      <w:pPr>
        <w:pStyle w:val="2"/>
        <w:spacing w:line="446" w:lineRule="auto"/>
      </w:pPr>
    </w:p>
    <w:p w14:paraId="1D4F350C">
      <w:pPr>
        <w:pStyle w:val="2"/>
        <w:spacing w:line="328" w:lineRule="auto"/>
      </w:pPr>
    </w:p>
    <w:p w14:paraId="00F75314">
      <w:pPr>
        <w:pStyle w:val="2"/>
        <w:spacing w:line="328" w:lineRule="auto"/>
      </w:pPr>
    </w:p>
    <w:p w14:paraId="19137335">
      <w:pPr>
        <w:spacing w:before="189" w:line="186" w:lineRule="auto"/>
        <w:ind w:left="1142"/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33741545">
      <w:pPr>
        <w:spacing w:before="100" w:line="224" w:lineRule="auto"/>
        <w:ind w:left="672"/>
      </w:pPr>
      <w:r>
        <w:rPr>
          <w:rFonts w:ascii="黑体" w:hAnsi="黑体" w:eastAsia="黑体" w:cs="黑体"/>
          <w:spacing w:val="7"/>
          <w:sz w:val="31"/>
          <w:szCs w:val="31"/>
        </w:rPr>
        <w:t>一、收入支出决算总表</w:t>
      </w:r>
    </w:p>
    <w:p w14:paraId="1742FFAE">
      <w:pPr>
        <w:spacing w:line="224" w:lineRule="auto"/>
      </w:pPr>
      <w:r>
        <w:drawing>
          <wp:inline distT="0" distB="0" distL="114300" distR="114300">
            <wp:extent cx="5287010" cy="5135245"/>
            <wp:effectExtent l="0" t="0" r="889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513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C4C14">
      <w:pPr>
        <w:spacing w:before="101" w:line="224" w:lineRule="auto"/>
        <w:rPr>
          <w:rFonts w:ascii="黑体" w:hAnsi="黑体" w:eastAsia="黑体" w:cs="黑体"/>
          <w:spacing w:val="7"/>
          <w:sz w:val="31"/>
          <w:szCs w:val="31"/>
        </w:rPr>
      </w:pPr>
    </w:p>
    <w:p w14:paraId="2971F25A">
      <w:pPr>
        <w:spacing w:before="101" w:line="224" w:lineRule="auto"/>
        <w:ind w:left="672"/>
        <w:rPr>
          <w:rFonts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二、收入决算表</w:t>
      </w:r>
    </w:p>
    <w:p w14:paraId="19090615">
      <w:pPr>
        <w:spacing w:line="224" w:lineRule="auto"/>
        <w:sectPr>
          <w:footerReference r:id="rId8" w:type="default"/>
          <w:pgSz w:w="11907" w:h="16839"/>
          <w:pgMar w:top="1431" w:right="1785" w:bottom="1150" w:left="1785" w:header="0" w:footer="965" w:gutter="0"/>
          <w:cols w:space="720" w:num="1"/>
        </w:sectPr>
      </w:pPr>
      <w:r>
        <w:drawing>
          <wp:inline distT="0" distB="0" distL="114300" distR="114300">
            <wp:extent cx="5291455" cy="2331720"/>
            <wp:effectExtent l="0" t="0" r="444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1455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E853D">
      <w:pPr>
        <w:spacing w:before="101" w:line="224" w:lineRule="auto"/>
        <w:ind w:firstLine="648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三、支出决算表</w:t>
      </w:r>
    </w:p>
    <w:p w14:paraId="108B77C7">
      <w:pPr>
        <w:spacing w:line="356" w:lineRule="auto"/>
      </w:pPr>
      <w:r>
        <w:drawing>
          <wp:inline distT="0" distB="0" distL="114300" distR="114300">
            <wp:extent cx="5290185" cy="2446020"/>
            <wp:effectExtent l="0" t="0" r="5715" b="1143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53443">
      <w:pPr>
        <w:spacing w:before="101" w:line="224" w:lineRule="auto"/>
        <w:ind w:firstLine="648" w:firstLineChars="20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四、财政拨款收入支出决算总表</w:t>
      </w:r>
    </w:p>
    <w:p w14:paraId="5DB48CCF">
      <w:pPr>
        <w:tabs>
          <w:tab w:val="left" w:pos="972"/>
        </w:tabs>
        <w:bidi w:val="0"/>
        <w:jc w:val="left"/>
        <w:rPr>
          <w:rFonts w:hint="eastAsia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 w:bidi="ar-SA"/>
        </w:rPr>
        <w:sectPr>
          <w:footerReference r:id="rId9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hint="eastAsia" w:eastAsia="宋体" w:cs="Arial"/>
          <w:snapToGrid w:val="0"/>
          <w:color w:val="000000"/>
          <w:kern w:val="0"/>
          <w:sz w:val="21"/>
          <w:szCs w:val="21"/>
          <w:lang w:val="en-US" w:eastAsia="zh-CN" w:bidi="ar-SA"/>
        </w:rPr>
        <w:tab/>
      </w:r>
      <w:r>
        <w:drawing>
          <wp:inline distT="0" distB="0" distL="114300" distR="114300">
            <wp:extent cx="5290820" cy="423100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rcRect t="2058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423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A14BE">
      <w:pPr>
        <w:pStyle w:val="2"/>
        <w:spacing w:line="339" w:lineRule="auto"/>
      </w:pPr>
    </w:p>
    <w:p w14:paraId="5762BA49">
      <w:pPr>
        <w:pStyle w:val="2"/>
        <w:spacing w:line="339" w:lineRule="auto"/>
      </w:pPr>
    </w:p>
    <w:p w14:paraId="679F1FF6">
      <w:pPr>
        <w:spacing w:before="100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五、一般公共预算财政拨款支出决算表</w:t>
      </w:r>
    </w:p>
    <w:p w14:paraId="650F8062">
      <w:pPr>
        <w:pStyle w:val="2"/>
        <w:spacing w:line="339" w:lineRule="auto"/>
      </w:pPr>
      <w:r>
        <w:drawing>
          <wp:inline distT="0" distB="0" distL="114300" distR="114300">
            <wp:extent cx="5290185" cy="2968625"/>
            <wp:effectExtent l="0" t="0" r="571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B047C">
      <w:pPr>
        <w:pStyle w:val="2"/>
        <w:spacing w:line="339" w:lineRule="auto"/>
      </w:pPr>
    </w:p>
    <w:p w14:paraId="636ED29C">
      <w:pPr>
        <w:spacing w:before="100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六、一般公共预算财政拨款基本支出决算明细表</w:t>
      </w:r>
    </w:p>
    <w:p w14:paraId="0241BDF8">
      <w:pPr>
        <w:spacing w:line="361" w:lineRule="auto"/>
        <w:rPr>
          <w:rFonts w:ascii="仿宋" w:hAnsi="仿宋" w:eastAsia="仿宋" w:cs="仿宋"/>
          <w:sz w:val="31"/>
          <w:szCs w:val="31"/>
        </w:rPr>
      </w:pPr>
    </w:p>
    <w:p w14:paraId="66B83EA2">
      <w:pPr>
        <w:spacing w:line="361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drawing>
          <wp:inline distT="0" distB="0" distL="114300" distR="114300">
            <wp:extent cx="5290185" cy="4022725"/>
            <wp:effectExtent l="0" t="0" r="5715" b="158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402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4D30D">
      <w:pPr>
        <w:spacing w:before="101" w:line="224" w:lineRule="auto"/>
        <w:ind w:left="666"/>
        <w:rPr>
          <w:rFonts w:ascii="宋体" w:hAnsi="宋体" w:eastAsia="宋体" w:cs="宋体"/>
          <w:spacing w:val="-11"/>
          <w:w w:val="99"/>
          <w:sz w:val="28"/>
          <w:szCs w:val="28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七、政府性基金预算财政拨款收入支出决算表</w:t>
      </w:r>
    </w:p>
    <w:p w14:paraId="2B47056D">
      <w:pPr>
        <w:pStyle w:val="2"/>
        <w:spacing w:line="339" w:lineRule="auto"/>
      </w:pPr>
      <w:r>
        <w:drawing>
          <wp:inline distT="0" distB="0" distL="114300" distR="114300">
            <wp:extent cx="5292725" cy="2287270"/>
            <wp:effectExtent l="0" t="0" r="3175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22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D9E00">
      <w:pPr>
        <w:pStyle w:val="2"/>
        <w:spacing w:line="340" w:lineRule="auto"/>
      </w:pPr>
    </w:p>
    <w:p w14:paraId="2CDA66CF">
      <w:pPr>
        <w:spacing w:before="101" w:line="224" w:lineRule="auto"/>
        <w:ind w:left="667"/>
        <w:rPr>
          <w:rFonts w:ascii="宋体" w:hAnsi="宋体" w:eastAsia="宋体" w:cs="宋体"/>
          <w:spacing w:val="-12"/>
          <w:sz w:val="28"/>
          <w:szCs w:val="28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八、国有资本经营预算财政拨款支出决算表</w:t>
      </w:r>
    </w:p>
    <w:p w14:paraId="5162A704">
      <w:pPr>
        <w:pStyle w:val="2"/>
        <w:spacing w:line="339" w:lineRule="auto"/>
      </w:pPr>
      <w:r>
        <w:drawing>
          <wp:inline distT="0" distB="0" distL="114300" distR="114300">
            <wp:extent cx="5288280" cy="2842260"/>
            <wp:effectExtent l="0" t="0" r="7620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28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6360C">
      <w:pPr>
        <w:pStyle w:val="2"/>
        <w:spacing w:line="340" w:lineRule="auto"/>
      </w:pPr>
    </w:p>
    <w:p w14:paraId="4E56FB65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3A065142">
      <w:pPr>
        <w:pStyle w:val="2"/>
        <w:spacing w:line="339" w:lineRule="auto"/>
      </w:pPr>
      <w:r>
        <w:drawing>
          <wp:inline distT="0" distB="0" distL="114300" distR="114300">
            <wp:extent cx="5288280" cy="2160270"/>
            <wp:effectExtent l="0" t="0" r="762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F4728">
      <w:pPr>
        <w:pStyle w:val="2"/>
        <w:spacing w:line="339" w:lineRule="auto"/>
      </w:pPr>
    </w:p>
    <w:p w14:paraId="24EC21CD">
      <w:pPr>
        <w:spacing w:before="100" w:line="224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十、部门预算项目支出绩效自评表</w:t>
      </w:r>
    </w:p>
    <w:p w14:paraId="585863EC">
      <w:pPr>
        <w:pStyle w:val="2"/>
        <w:spacing w:line="261" w:lineRule="auto"/>
      </w:pPr>
    </w:p>
    <w:p w14:paraId="72A5F97C">
      <w:pPr>
        <w:tabs>
          <w:tab w:val="left" w:pos="649"/>
        </w:tabs>
        <w:bidi w:val="0"/>
        <w:jc w:val="left"/>
        <w:rPr>
          <w:rFonts w:hint="eastAsia" w:eastAsia="宋体"/>
          <w:lang w:val="en-US" w:eastAsia="zh-CN"/>
        </w:rPr>
      </w:pPr>
    </w:p>
    <w:p w14:paraId="55192F40">
      <w:pPr>
        <w:bidi w:val="0"/>
        <w:jc w:val="left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  <w:sectPr>
          <w:footerReference r:id="rId11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drawing>
          <wp:inline distT="0" distB="0" distL="114300" distR="114300">
            <wp:extent cx="5290820" cy="4623435"/>
            <wp:effectExtent l="0" t="0" r="5080" b="57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462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A5481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6B93E21B">
      <w:pPr>
        <w:pStyle w:val="2"/>
        <w:spacing w:line="314" w:lineRule="auto"/>
      </w:pPr>
    </w:p>
    <w:p w14:paraId="6027ABBB">
      <w:pPr>
        <w:pStyle w:val="2"/>
        <w:spacing w:line="314" w:lineRule="auto"/>
      </w:pPr>
    </w:p>
    <w:p w14:paraId="03D050B4">
      <w:pPr>
        <w:pStyle w:val="2"/>
        <w:spacing w:line="315" w:lineRule="auto"/>
      </w:pPr>
    </w:p>
    <w:p w14:paraId="55FF611C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1D1099E2">
      <w:pPr>
        <w:spacing w:before="248" w:line="362" w:lineRule="auto"/>
        <w:ind w:left="36" w:right="113" w:firstLine="634"/>
        <w:rPr>
          <w:rFonts w:hint="eastAsia" w:ascii="仿宋" w:hAnsi="仿宋" w:eastAsia="仿宋" w:cs="仿宋"/>
          <w:sz w:val="31"/>
          <w:szCs w:val="31"/>
          <w:highlight w:val="none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年度收、支总计均为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213.56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年度相比，收、支总计各增加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85.75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67.09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要原因：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培训费用增加、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人员经费增加、退休人员补贴增加、党派活动等项目增加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。</w:t>
      </w:r>
    </w:p>
    <w:p w14:paraId="58996AC1">
      <w:pPr>
        <w:spacing w:before="50" w:line="224" w:lineRule="auto"/>
        <w:ind w:firstLine="652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421750A8">
      <w:pPr>
        <w:spacing w:before="248" w:line="362" w:lineRule="auto"/>
        <w:ind w:left="36" w:right="113" w:firstLine="634"/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</w:rPr>
        <w:t>213.51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213.51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85.75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67.12</w:t>
      </w:r>
      <w:r>
        <w:rPr>
          <w:rFonts w:ascii="仿宋" w:hAnsi="仿宋" w:eastAsia="仿宋" w:cs="仿宋"/>
          <w:spacing w:val="4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培训费用增加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人员经费增加、退休人员补贴增加、党派活动等项目增加</w:t>
      </w:r>
      <w:r>
        <w:rPr>
          <w:rFonts w:ascii="仿宋" w:hAnsi="仿宋" w:eastAsia="仿宋" w:cs="仿宋"/>
          <w:spacing w:val="6"/>
          <w:sz w:val="31"/>
          <w:szCs w:val="31"/>
        </w:rPr>
        <w:t>；上</w:t>
      </w:r>
      <w:r>
        <w:rPr>
          <w:rFonts w:ascii="仿宋" w:hAnsi="仿宋" w:eastAsia="仿宋" w:cs="仿宋"/>
          <w:spacing w:val="-15"/>
          <w:sz w:val="31"/>
          <w:szCs w:val="31"/>
        </w:rPr>
        <w:t>级补助收入</w:t>
      </w:r>
      <w:r>
        <w:rPr>
          <w:rFonts w:hint="eastAsia" w:ascii="仿宋" w:hAnsi="仿宋" w:eastAsia="仿宋" w:cs="仿宋"/>
          <w:spacing w:val="4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；事业收入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万元；经营收入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ascii="仿宋" w:hAnsi="仿宋" w:eastAsia="仿宋" w:cs="仿宋"/>
          <w:spacing w:val="6"/>
          <w:sz w:val="31"/>
          <w:szCs w:val="31"/>
        </w:rPr>
        <w:t>；附属单位</w:t>
      </w:r>
      <w:r>
        <w:rPr>
          <w:rFonts w:ascii="仿宋" w:hAnsi="仿宋" w:eastAsia="仿宋" w:cs="仿宋"/>
          <w:spacing w:val="-9"/>
          <w:sz w:val="31"/>
          <w:szCs w:val="31"/>
        </w:rPr>
        <w:t>上缴收入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；其他收入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0.01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0.01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主要是利息收入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。</w:t>
      </w:r>
    </w:p>
    <w:p w14:paraId="60AEFD03">
      <w:pPr>
        <w:spacing w:before="158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58E8488B">
      <w:pPr>
        <w:spacing w:before="248" w:line="362" w:lineRule="auto"/>
        <w:ind w:left="36" w:right="113" w:firstLine="634"/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</w:rPr>
        <w:t>213.50</w:t>
      </w:r>
      <w:r>
        <w:rPr>
          <w:rFonts w:ascii="仿宋" w:hAnsi="仿宋" w:eastAsia="仿宋" w:cs="仿宋"/>
          <w:spacing w:val="4"/>
          <w:sz w:val="31"/>
          <w:szCs w:val="31"/>
        </w:rPr>
        <w:t>万元，其中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4"/>
          <w:sz w:val="31"/>
          <w:szCs w:val="31"/>
        </w:rPr>
        <w:t>基本支出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197.76</w:t>
      </w:r>
      <w:r>
        <w:rPr>
          <w:rFonts w:ascii="仿宋" w:hAnsi="仿宋" w:eastAsia="仿宋" w:cs="仿宋"/>
          <w:spacing w:val="4"/>
          <w:sz w:val="31"/>
          <w:szCs w:val="31"/>
        </w:rPr>
        <w:t>万元，比上年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70.32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55.17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项目支</w:t>
      </w:r>
      <w:r>
        <w:rPr>
          <w:rFonts w:ascii="仿宋" w:hAnsi="仿宋" w:eastAsia="仿宋" w:cs="仿宋"/>
          <w:spacing w:val="3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7"/>
          <w:sz w:val="31"/>
          <w:szCs w:val="31"/>
        </w:rPr>
        <w:t>15.73</w:t>
      </w:r>
      <w:r>
        <w:rPr>
          <w:rFonts w:ascii="仿宋" w:hAnsi="仿宋" w:eastAsia="仿宋" w:cs="仿宋"/>
          <w:spacing w:val="3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15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.41万元，增长4815.63%，主要是2022年疫情影响为开展项目，23年疫情结束开展党派活动等项目；上缴上级支出0万元；</w:t>
      </w:r>
      <w:r>
        <w:rPr>
          <w:rFonts w:ascii="仿宋" w:hAnsi="仿宋" w:eastAsia="仿宋" w:cs="仿宋"/>
          <w:spacing w:val="2"/>
          <w:sz w:val="31"/>
          <w:szCs w:val="31"/>
        </w:rPr>
        <w:t>经营支出</w:t>
      </w:r>
      <w:r>
        <w:rPr>
          <w:rFonts w:hint="eastAsia" w:ascii="仿宋" w:hAnsi="仿宋" w:eastAsia="仿宋" w:cs="仿宋"/>
          <w:spacing w:val="4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万元</w:t>
      </w:r>
      <w:r>
        <w:rPr>
          <w:rFonts w:ascii="仿宋" w:hAnsi="仿宋" w:eastAsia="仿宋" w:cs="仿宋"/>
          <w:spacing w:val="6"/>
          <w:sz w:val="31"/>
          <w:szCs w:val="31"/>
        </w:rPr>
        <w:t>；对附属单</w:t>
      </w:r>
      <w:r>
        <w:rPr>
          <w:rFonts w:ascii="仿宋" w:hAnsi="仿宋" w:eastAsia="仿宋" w:cs="仿宋"/>
          <w:spacing w:val="-15"/>
          <w:sz w:val="31"/>
          <w:szCs w:val="31"/>
        </w:rPr>
        <w:t>位补助支出</w:t>
      </w:r>
      <w:r>
        <w:rPr>
          <w:rFonts w:hint="eastAsia" w:ascii="仿宋" w:hAnsi="仿宋" w:eastAsia="仿宋" w:cs="仿宋"/>
          <w:spacing w:val="4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70E0B563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3EAEB977">
      <w:pPr>
        <w:spacing w:before="248" w:line="362" w:lineRule="auto"/>
        <w:ind w:left="23" w:right="86" w:firstLine="648"/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</w:rPr>
        <w:t>213.54</w:t>
      </w:r>
      <w:r>
        <w:rPr>
          <w:rFonts w:ascii="仿宋" w:hAnsi="仿宋" w:eastAsia="仿宋" w:cs="仿宋"/>
          <w:spacing w:val="5"/>
          <w:sz w:val="31"/>
          <w:szCs w:val="31"/>
        </w:rPr>
        <w:t>万元，与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相比，财政拨款收、支总计各增加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85.75</w:t>
      </w:r>
      <w:r>
        <w:rPr>
          <w:rFonts w:ascii="仿宋" w:hAnsi="仿宋" w:eastAsia="仿宋" w:cs="仿宋"/>
          <w:spacing w:val="-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67.10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:</w:t>
      </w:r>
      <w:r>
        <w:rPr>
          <w:rFonts w:ascii="宋体" w:hAnsi="宋体" w:eastAsia="宋体" w:cs="宋体"/>
          <w:spacing w:val="-10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培训费用增加、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人员经费增加、退休人员补贴增加、党派活动等项目增加。</w:t>
      </w:r>
    </w:p>
    <w:p w14:paraId="10E5CE0A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0F7383D4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一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）一般公共预算财政拨款支出决算总体情况</w:t>
      </w:r>
    </w:p>
    <w:p w14:paraId="2B82944B">
      <w:pPr>
        <w:spacing w:before="160" w:line="357" w:lineRule="auto"/>
        <w:ind w:left="68" w:right="90" w:firstLine="636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213.50</w:t>
      </w:r>
      <w:r>
        <w:rPr>
          <w:rFonts w:ascii="仿宋" w:hAnsi="仿宋" w:eastAsia="仿宋" w:cs="仿宋"/>
          <w:spacing w:val="4"/>
          <w:sz w:val="31"/>
          <w:szCs w:val="31"/>
        </w:rPr>
        <w:t>万元，占本年支</w:t>
      </w:r>
      <w:r>
        <w:rPr>
          <w:rFonts w:ascii="仿宋" w:hAnsi="仿宋" w:eastAsia="仿宋" w:cs="仿宋"/>
          <w:spacing w:val="3"/>
          <w:sz w:val="31"/>
          <w:szCs w:val="31"/>
        </w:rPr>
        <w:t>出合计的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99.95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。与</w:t>
      </w:r>
      <w:r>
        <w:rPr>
          <w:rFonts w:ascii="宋体" w:hAnsi="宋体" w:eastAsia="宋体" w:cs="宋体"/>
          <w:spacing w:val="3"/>
          <w:sz w:val="31"/>
          <w:szCs w:val="31"/>
        </w:rPr>
        <w:t>2022</w:t>
      </w:r>
      <w:r>
        <w:rPr>
          <w:rFonts w:ascii="仿宋" w:hAnsi="仿宋" w:eastAsia="仿宋" w:cs="仿宋"/>
          <w:spacing w:val="3"/>
          <w:sz w:val="31"/>
          <w:szCs w:val="31"/>
        </w:rPr>
        <w:t>年度相比，一般公共预算财政拨款支</w:t>
      </w:r>
      <w:r>
        <w:rPr>
          <w:rFonts w:ascii="仿宋" w:hAnsi="仿宋" w:eastAsia="仿宋" w:cs="仿宋"/>
          <w:spacing w:val="-1"/>
          <w:sz w:val="31"/>
          <w:szCs w:val="31"/>
        </w:rPr>
        <w:t>出增加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85.74</w:t>
      </w:r>
      <w:r>
        <w:rPr>
          <w:rFonts w:ascii="仿宋" w:hAnsi="仿宋" w:eastAsia="仿宋" w:cs="仿宋"/>
          <w:spacing w:val="-1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67.11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。主要原因：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培训费用增加、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人员经费增加、退休人员补贴增加、党派活动等项目增加。</w:t>
      </w:r>
    </w:p>
    <w:p w14:paraId="393484A5">
      <w:pPr>
        <w:spacing w:before="51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一般公共预算财政拨款支出决算结构情况</w:t>
      </w:r>
    </w:p>
    <w:p w14:paraId="3D4ADAA4">
      <w:pPr>
        <w:spacing w:before="251" w:line="364" w:lineRule="auto"/>
        <w:ind w:left="68" w:right="7" w:firstLine="60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213.50</w:t>
      </w:r>
      <w:r>
        <w:rPr>
          <w:rFonts w:ascii="仿宋" w:hAnsi="仿宋" w:eastAsia="仿宋" w:cs="仿宋"/>
          <w:spacing w:val="4"/>
          <w:sz w:val="31"/>
          <w:szCs w:val="31"/>
        </w:rPr>
        <w:t>万元，主要用于</w:t>
      </w:r>
      <w:r>
        <w:rPr>
          <w:rFonts w:ascii="仿宋" w:hAnsi="仿宋" w:eastAsia="仿宋" w:cs="仿宋"/>
          <w:spacing w:val="-6"/>
          <w:sz w:val="31"/>
          <w:szCs w:val="31"/>
        </w:rPr>
        <w:t>以下方面：一般公共服务支出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193.41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90.59</w:t>
      </w:r>
      <w:r>
        <w:rPr>
          <w:rFonts w:ascii="宋体" w:hAnsi="宋体" w:eastAsia="宋体" w:cs="宋体"/>
          <w:spacing w:val="-6"/>
          <w:sz w:val="31"/>
          <w:szCs w:val="31"/>
        </w:rPr>
        <w:t>%</w:t>
      </w:r>
      <w:r>
        <w:rPr>
          <w:rFonts w:ascii="仿宋" w:hAnsi="仿宋" w:eastAsia="仿宋" w:cs="仿宋"/>
          <w:spacing w:val="-6"/>
          <w:sz w:val="31"/>
          <w:szCs w:val="31"/>
        </w:rPr>
        <w:t>；</w:t>
      </w:r>
      <w:r>
        <w:rPr>
          <w:rFonts w:hint="eastAsia" w:ascii="宋体" w:hAnsi="宋体" w:eastAsia="宋体" w:cs="宋体"/>
          <w:spacing w:val="-6"/>
          <w:sz w:val="31"/>
          <w:szCs w:val="31"/>
        </w:rPr>
        <w:t xml:space="preserve">  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住房保障支出</w:t>
      </w:r>
      <w:r>
        <w:rPr>
          <w:rFonts w:hint="eastAsia" w:ascii="仿宋" w:hAnsi="仿宋" w:eastAsia="仿宋" w:cs="仿宋"/>
          <w:spacing w:val="20"/>
          <w:sz w:val="31"/>
          <w:szCs w:val="31"/>
        </w:rPr>
        <w:t>20.09</w:t>
      </w:r>
      <w:r>
        <w:rPr>
          <w:rFonts w:ascii="仿宋" w:hAnsi="仿宋" w:eastAsia="仿宋" w:cs="仿宋"/>
          <w:spacing w:val="-6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3"/>
          <w:sz w:val="31"/>
          <w:szCs w:val="31"/>
        </w:rPr>
        <w:t>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9.41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hint="eastAsia" w:ascii="宋体" w:hAnsi="宋体" w:eastAsia="宋体" w:cs="宋体"/>
          <w:spacing w:val="3"/>
          <w:sz w:val="31"/>
          <w:szCs w:val="31"/>
          <w:lang w:eastAsia="zh-CN"/>
        </w:rPr>
        <w:t>。</w:t>
      </w:r>
    </w:p>
    <w:p w14:paraId="29C8B7C7">
      <w:pPr>
        <w:spacing w:before="52" w:line="360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一般公共预算财政拨款支出决算具体情况</w:t>
      </w:r>
    </w:p>
    <w:p w14:paraId="58D474E9">
      <w:pPr>
        <w:spacing w:before="251" w:line="364" w:lineRule="auto"/>
        <w:ind w:left="68" w:right="7" w:firstLine="603"/>
        <w:jc w:val="both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2023年度一般公共预算财政拨款支出年初预算为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178.39</w:t>
      </w:r>
      <w:r>
        <w:rPr>
          <w:rFonts w:ascii="仿宋" w:hAnsi="仿宋" w:eastAsia="仿宋" w:cs="仿宋"/>
          <w:spacing w:val="4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213.50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119.68</w:t>
      </w:r>
      <w:r>
        <w:rPr>
          <w:rFonts w:ascii="仿宋" w:hAnsi="仿宋" w:eastAsia="仿宋" w:cs="仿宋"/>
          <w:spacing w:val="4"/>
          <w:sz w:val="31"/>
          <w:szCs w:val="31"/>
        </w:rPr>
        <w:t>%。其中：</w:t>
      </w:r>
    </w:p>
    <w:p w14:paraId="4F6DDD62">
      <w:pPr>
        <w:spacing w:before="54" w:line="361" w:lineRule="auto"/>
        <w:ind w:left="30" w:firstLine="660"/>
        <w:rPr>
          <w:rFonts w:ascii="仿宋" w:hAnsi="仿宋" w:eastAsia="仿宋" w:cs="仿宋"/>
          <w:sz w:val="31"/>
          <w:szCs w:val="31"/>
          <w:highlight w:val="yellow"/>
        </w:rPr>
      </w:pPr>
      <w:r>
        <w:rPr>
          <w:rFonts w:ascii="宋体" w:hAnsi="宋体" w:eastAsia="宋体" w:cs="宋体"/>
          <w:spacing w:val="-12"/>
          <w:sz w:val="31"/>
          <w:szCs w:val="31"/>
        </w:rPr>
        <w:t>1.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一般公共服务（类）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统战</w:t>
      </w:r>
      <w:r>
        <w:rPr>
          <w:rFonts w:ascii="仿宋" w:hAnsi="仿宋" w:eastAsia="仿宋" w:cs="仿宋"/>
          <w:spacing w:val="-12"/>
          <w:sz w:val="31"/>
          <w:szCs w:val="31"/>
        </w:rPr>
        <w:t>事务（款）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行政运行（项）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年初预算为</w:t>
      </w:r>
      <w:r>
        <w:rPr>
          <w:rFonts w:hint="eastAsia" w:ascii="仿宋" w:hAnsi="仿宋" w:eastAsia="仿宋" w:cs="仿宋"/>
          <w:spacing w:val="59"/>
          <w:sz w:val="31"/>
          <w:szCs w:val="31"/>
          <w:lang w:val="en-US" w:eastAsia="zh-CN"/>
        </w:rPr>
        <w:t>149.26</w:t>
      </w:r>
      <w:r>
        <w:rPr>
          <w:rFonts w:ascii="仿宋" w:hAnsi="仿宋" w:eastAsia="仿宋" w:cs="仿宋"/>
          <w:spacing w:val="20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58"/>
          <w:sz w:val="31"/>
          <w:szCs w:val="31"/>
        </w:rPr>
        <w:t>177.68</w:t>
      </w:r>
      <w:r>
        <w:rPr>
          <w:rFonts w:ascii="仿宋" w:hAnsi="仿宋" w:eastAsia="仿宋" w:cs="仿宋"/>
          <w:spacing w:val="20"/>
          <w:sz w:val="31"/>
          <w:szCs w:val="31"/>
        </w:rPr>
        <w:t>万元，完成年初预算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119.04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。决算数大于预算数的主要原因是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培训费用增加、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人员经费增加。</w:t>
      </w:r>
    </w:p>
    <w:p w14:paraId="60AE962D">
      <w:pPr>
        <w:spacing w:before="160" w:line="357" w:lineRule="auto"/>
        <w:ind w:left="68" w:right="90" w:firstLine="632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一般公共服务（类）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统战</w:t>
      </w:r>
      <w:r>
        <w:rPr>
          <w:rFonts w:ascii="仿宋" w:hAnsi="仿宋" w:eastAsia="仿宋" w:cs="仿宋"/>
          <w:spacing w:val="-12"/>
          <w:sz w:val="31"/>
          <w:szCs w:val="31"/>
        </w:rPr>
        <w:t>事务（款）</w:t>
      </w:r>
      <w:r>
        <w:rPr>
          <w:rFonts w:hint="eastAsia"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一般行政管理事务</w:t>
      </w:r>
      <w:r>
        <w:rPr>
          <w:rFonts w:ascii="仿宋" w:hAnsi="仿宋" w:eastAsia="仿宋" w:cs="仿宋"/>
          <w:spacing w:val="3"/>
          <w:sz w:val="31"/>
          <w:szCs w:val="31"/>
        </w:rPr>
        <w:t>（项）。年初预算为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15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15.73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104.87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。决算数大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按实际情况支付。</w:t>
      </w:r>
    </w:p>
    <w:p w14:paraId="4475F413">
      <w:pPr>
        <w:spacing w:before="250" w:line="297" w:lineRule="auto"/>
        <w:ind w:left="34" w:right="98" w:firstLine="639"/>
        <w:rPr>
          <w:rFonts w:hint="default" w:eastAsia="仿宋"/>
          <w:lang w:val="en-US" w:eastAsia="zh-CN"/>
        </w:rPr>
      </w:pPr>
      <w:r>
        <w:rPr>
          <w:rFonts w:ascii="宋体" w:hAnsi="宋体" w:eastAsia="宋体" w:cs="宋体"/>
          <w:sz w:val="31"/>
          <w:szCs w:val="31"/>
        </w:rPr>
        <w:t>3.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一般公共服务（类）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统战</w:t>
      </w:r>
      <w:r>
        <w:rPr>
          <w:rFonts w:ascii="仿宋" w:hAnsi="仿宋" w:eastAsia="仿宋" w:cs="仿宋"/>
          <w:spacing w:val="-12"/>
          <w:sz w:val="31"/>
          <w:szCs w:val="31"/>
        </w:rPr>
        <w:t>事务（款）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住房保障支出</w:t>
      </w:r>
      <w:r>
        <w:rPr>
          <w:rFonts w:ascii="仿宋" w:hAnsi="仿宋" w:eastAsia="仿宋" w:cs="仿宋"/>
          <w:sz w:val="31"/>
          <w:szCs w:val="31"/>
        </w:rPr>
        <w:t>（项）。年初预算为</w:t>
      </w:r>
      <w:r>
        <w:rPr>
          <w:rFonts w:hint="eastAsia" w:ascii="仿宋" w:hAnsi="仿宋" w:eastAsia="仿宋" w:cs="仿宋"/>
          <w:spacing w:val="57"/>
          <w:sz w:val="31"/>
          <w:szCs w:val="31"/>
          <w:lang w:val="en-US" w:eastAsia="zh-CN"/>
        </w:rPr>
        <w:t>14.13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20.09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142.18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。决算数大</w:t>
      </w:r>
      <w:r>
        <w:rPr>
          <w:rFonts w:ascii="仿宋" w:hAnsi="仿宋" w:eastAsia="仿宋" w:cs="仿宋"/>
          <w:spacing w:val="-6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住房公积金基数调整。</w:t>
      </w:r>
    </w:p>
    <w:p w14:paraId="02C3D1EE">
      <w:pPr>
        <w:spacing w:before="101" w:line="224" w:lineRule="auto"/>
        <w:ind w:firstLine="652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290AD3A1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33"/>
          <w:sz w:val="31"/>
          <w:szCs w:val="31"/>
        </w:rPr>
        <w:t>197.76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19396AE0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spacing w:val="7"/>
          <w:sz w:val="31"/>
          <w:szCs w:val="31"/>
        </w:rPr>
        <w:t>164.55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9"/>
          <w:sz w:val="31"/>
          <w:szCs w:val="31"/>
        </w:rPr>
        <w:t>金、机关事业单位基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pacing w:val="9"/>
          <w:sz w:val="31"/>
          <w:szCs w:val="31"/>
        </w:rPr>
        <w:t>费、职业年金缴费、职工基本医疗保险缴费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其他社会保障缴费、住房公积金、</w:t>
      </w:r>
      <w:r>
        <w:rPr>
          <w:rFonts w:ascii="仿宋" w:hAnsi="仿宋" w:eastAsia="仿宋" w:cs="仿宋"/>
          <w:spacing w:val="3"/>
          <w:sz w:val="31"/>
          <w:szCs w:val="31"/>
        </w:rPr>
        <w:t>退休费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39CE4FB2">
      <w:pPr>
        <w:spacing w:before="158" w:line="356" w:lineRule="auto"/>
        <w:ind w:right="161" w:firstLine="618" w:firstLineChars="200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公用经费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33.22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，主要包括：办公费、</w:t>
      </w:r>
      <w:r>
        <w:rPr>
          <w:rFonts w:ascii="仿宋" w:hAnsi="仿宋" w:eastAsia="仿宋" w:cs="仿宋"/>
          <w:spacing w:val="9"/>
          <w:sz w:val="31"/>
          <w:szCs w:val="31"/>
        </w:rPr>
        <w:t>邮电费、</w:t>
      </w:r>
      <w:r>
        <w:rPr>
          <w:rFonts w:ascii="仿宋" w:hAnsi="仿宋" w:eastAsia="仿宋" w:cs="仿宋"/>
          <w:spacing w:val="8"/>
          <w:sz w:val="31"/>
          <w:szCs w:val="31"/>
        </w:rPr>
        <w:t>差旅</w:t>
      </w:r>
      <w:r>
        <w:rPr>
          <w:rFonts w:ascii="仿宋" w:hAnsi="仿宋" w:eastAsia="仿宋" w:cs="仿宋"/>
          <w:sz w:val="31"/>
          <w:szCs w:val="31"/>
        </w:rPr>
        <w:t>费、</w:t>
      </w:r>
      <w:r>
        <w:rPr>
          <w:rFonts w:ascii="仿宋" w:hAnsi="仿宋" w:eastAsia="仿宋" w:cs="仿宋"/>
          <w:spacing w:val="9"/>
          <w:sz w:val="31"/>
          <w:szCs w:val="31"/>
        </w:rPr>
        <w:t>培训费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委托业务费、工会经费、其他交通费用、其</w:t>
      </w:r>
      <w:r>
        <w:rPr>
          <w:rFonts w:ascii="仿宋" w:hAnsi="仿宋" w:eastAsia="仿宋" w:cs="仿宋"/>
          <w:spacing w:val="8"/>
          <w:sz w:val="31"/>
          <w:szCs w:val="31"/>
        </w:rPr>
        <w:t>他商品和服</w:t>
      </w:r>
      <w:r>
        <w:rPr>
          <w:rFonts w:ascii="仿宋" w:hAnsi="仿宋" w:eastAsia="仿宋" w:cs="仿宋"/>
          <w:spacing w:val="9"/>
          <w:sz w:val="31"/>
          <w:szCs w:val="31"/>
        </w:rPr>
        <w:t>务支出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6D254F1B">
      <w:pPr>
        <w:spacing w:before="158" w:line="356" w:lineRule="auto"/>
        <w:ind w:right="161" w:firstLine="65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16BC96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auto"/>
        <w:ind w:firstLine="620" w:firstLineChars="200"/>
        <w:textAlignment w:val="baseline"/>
        <w:rPr>
          <w:rFonts w:ascii="仿宋" w:hAnsi="仿宋" w:eastAsia="仿宋" w:cs="仿宋"/>
          <w:spacing w:val="9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2023年度政府性基金预算财政拨款年初结转和结余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万元；本年支出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万元；年末结转和结余万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元。</w:t>
      </w:r>
    </w:p>
    <w:p w14:paraId="56FFBF36">
      <w:pPr>
        <w:spacing w:before="158" w:line="224" w:lineRule="auto"/>
        <w:ind w:left="74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7B81B6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360" w:lineRule="auto"/>
        <w:ind w:left="67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年度国有资本经营预算年初结转和结余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万元；</w:t>
      </w:r>
    </w:p>
    <w:p w14:paraId="3E8BA1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  <w:r>
        <w:rPr>
          <w:rFonts w:ascii="仿宋" w:hAnsi="仿宋" w:eastAsia="仿宋" w:cs="仿宋"/>
          <w:spacing w:val="-5"/>
          <w:sz w:val="31"/>
          <w:szCs w:val="31"/>
        </w:rPr>
        <w:t>本年收入</w:t>
      </w:r>
      <w:r>
        <w:rPr>
          <w:rFonts w:hint="eastAsia" w:ascii="仿宋" w:hAnsi="仿宋" w:eastAsia="仿宋" w:cs="仿宋"/>
          <w:spacing w:val="-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5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4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  <w:r>
        <w:rPr>
          <w:rFonts w:ascii="仿宋" w:hAnsi="仿宋" w:eastAsia="仿宋" w:cs="仿宋"/>
          <w:spacing w:val="5"/>
          <w:sz w:val="31"/>
          <w:szCs w:val="31"/>
        </w:rPr>
        <w:t>；年末结转和结余</w:t>
      </w:r>
      <w:r>
        <w:rPr>
          <w:rFonts w:hint="eastAsia" w:ascii="仿宋" w:hAnsi="仿宋" w:eastAsia="仿宋" w:cs="仿宋"/>
          <w:spacing w:val="4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5DA9D053">
      <w:pPr>
        <w:pStyle w:val="2"/>
        <w:spacing w:line="256" w:lineRule="auto"/>
      </w:pPr>
    </w:p>
    <w:p w14:paraId="7BCA74AD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1769CE64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（一）“三公”经费财政拨款支出决算总体情况说明</w:t>
      </w:r>
    </w:p>
    <w:p w14:paraId="1A46FC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360" w:lineRule="auto"/>
        <w:ind w:firstLine="636" w:firstLineChars="200"/>
        <w:textAlignment w:val="baseline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年度“三公”经费财政拨款支出预算为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万元，支</w:t>
      </w:r>
      <w:r>
        <w:rPr>
          <w:rFonts w:ascii="仿宋" w:hAnsi="仿宋" w:eastAsia="仿宋" w:cs="仿宋"/>
          <w:spacing w:val="-1"/>
          <w:sz w:val="31"/>
          <w:szCs w:val="31"/>
        </w:rPr>
        <w:t>出决算为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。</w:t>
      </w:r>
    </w:p>
    <w:p w14:paraId="49C73D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360" w:lineRule="auto"/>
        <w:ind w:left="65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（二）“三公”经费财政拨款支出决算具体情况说明</w:t>
      </w:r>
    </w:p>
    <w:p w14:paraId="32DC31E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2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1.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因公出国（境）费预算为0万元,支出决算为0万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元，完成预算的0%，较上年增加0万元，增长0%，主要原因：本部门无此项支出。全年安排因公出国（境）团组0个，累计0人次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0D57AD0D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04" w:firstLineChars="200"/>
        <w:jc w:val="left"/>
        <w:textAlignment w:val="baseline"/>
        <w:rPr>
          <w:rFonts w:ascii="仿宋" w:hAnsi="仿宋" w:eastAsia="仿宋" w:cs="仿宋"/>
          <w:spacing w:val="-9"/>
          <w:sz w:val="31"/>
          <w:szCs w:val="31"/>
        </w:rPr>
      </w:pPr>
      <w:r>
        <w:rPr>
          <w:rFonts w:ascii="宋体" w:hAnsi="宋体" w:eastAsia="宋体" w:cs="宋体"/>
          <w:spacing w:val="21"/>
          <w:sz w:val="31"/>
          <w:szCs w:val="31"/>
        </w:rPr>
        <w:t>2.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公务用车购置及运行费预算0万元，支出决算为0万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元，完成预算的0%；较上年增加0万元，增长0%，主要原因是本部门无此项支出。</w:t>
      </w:r>
      <w:r>
        <w:rPr>
          <w:rFonts w:ascii="仿宋" w:hAnsi="仿宋" w:eastAsia="仿宋" w:cs="仿宋"/>
          <w:spacing w:val="-9"/>
          <w:sz w:val="31"/>
          <w:szCs w:val="31"/>
        </w:rPr>
        <w:t>其中：</w:t>
      </w:r>
    </w:p>
    <w:p w14:paraId="74FC11C8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公务用车购置费支出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18F2D73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2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公务用车运行维护费支出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截至202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年12月31日，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开支财政拨款的公务用车保有量为0辆,公务用车购置数为 0 辆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 w14:paraId="3BB059C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3.公务接待费预算为0万元，支出决算为0万元，完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成预算的0%；较上年增加0万元，增长0%，主要原因是本部门无此项支出。其中： </w:t>
      </w:r>
    </w:p>
    <w:p w14:paraId="6934C0E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外宾接待支出0万元。全年共接待国（境）外来访团组 </w:t>
      </w:r>
    </w:p>
    <w:p w14:paraId="39DF53CB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数0个、来访外宾0人次（不包括陪同人员）。 </w:t>
      </w:r>
    </w:p>
    <w:p w14:paraId="191DE3D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其他国内公务接待支出0万元。全年共接待国内来访团组0个、来宾0人次（不包括陪同人员）。</w:t>
      </w:r>
    </w:p>
    <w:p w14:paraId="265ED82F">
      <w:pPr>
        <w:spacing w:before="101" w:line="224" w:lineRule="auto"/>
        <w:ind w:left="750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十、关于2023年度绩效评价情况说明</w:t>
      </w:r>
    </w:p>
    <w:p w14:paraId="7A15EAC9">
      <w:pPr>
        <w:spacing w:before="249" w:line="353" w:lineRule="auto"/>
        <w:ind w:left="23" w:right="3" w:firstLine="636"/>
        <w:rPr>
          <w:rFonts w:ascii="仿宋" w:hAnsi="仿宋" w:eastAsia="仿宋" w:cs="仿宋"/>
          <w:spacing w:val="5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（一）绩效评价工作开展情况。</w:t>
      </w:r>
    </w:p>
    <w:p w14:paraId="3880DA6E">
      <w:pPr>
        <w:spacing w:line="360" w:lineRule="auto"/>
        <w:jc w:val="left"/>
        <w:rPr>
          <w:rFonts w:ascii="仿宋" w:hAnsi="仿宋" w:eastAsia="仿宋" w:cs="仿宋"/>
          <w:spacing w:val="10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 xml:space="preserve"> 本部门组织对2023年度一般公共预算项目支出全面开展绩效自评，其中，一级项目3个，二级项目7个，共涉及资金15.73万元，占一般公共预算项目支出总额的7.37%。组织对2023年度0个政府性基金</w:t>
      </w:r>
      <w:r>
        <w:rPr>
          <w:rFonts w:ascii="仿宋" w:hAnsi="仿宋" w:eastAsia="仿宋" w:cs="仿宋"/>
          <w:spacing w:val="10"/>
          <w:sz w:val="31"/>
          <w:szCs w:val="31"/>
          <w:lang w:val="en-US" w:eastAsia="zh-CN"/>
        </w:rPr>
        <w:t>预算项目开展绩效自评，共涉及资金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0"/>
          <w:sz w:val="31"/>
          <w:szCs w:val="31"/>
          <w:lang w:val="en-US" w:eastAsia="zh-CN"/>
        </w:rPr>
        <w:t>万元，占政府性基金预</w:t>
      </w:r>
      <w:r>
        <w:rPr>
          <w:rFonts w:ascii="仿宋" w:hAnsi="仿宋" w:eastAsia="仿宋" w:cs="仿宋"/>
          <w:spacing w:val="10"/>
          <w:sz w:val="31"/>
          <w:szCs w:val="31"/>
        </w:rPr>
        <w:t>算项目支出总额的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0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0"/>
          <w:sz w:val="31"/>
          <w:szCs w:val="31"/>
        </w:rPr>
        <w:t>个国有资本经营预算项目开展绩效自评，共涉及资金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0"/>
          <w:sz w:val="31"/>
          <w:szCs w:val="31"/>
        </w:rPr>
        <w:t>万元，占国有资本经营预算项目支出总额的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0"/>
          <w:sz w:val="31"/>
          <w:szCs w:val="31"/>
        </w:rPr>
        <w:t>%。</w:t>
      </w:r>
    </w:p>
    <w:p w14:paraId="3048F7F5">
      <w:pPr>
        <w:spacing w:before="252" w:line="360" w:lineRule="auto"/>
        <w:ind w:left="23" w:right="102" w:firstLine="648"/>
        <w:jc w:val="both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10"/>
          <w:sz w:val="31"/>
          <w:szCs w:val="31"/>
        </w:rPr>
        <w:t>组织对</w:t>
      </w: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党派活动及同心圆建设经费和通讯补助费等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7</w:t>
      </w:r>
      <w:r>
        <w:rPr>
          <w:rFonts w:ascii="宋体" w:hAnsi="宋体" w:eastAsia="宋体" w:cs="宋体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个项目开展了部门绩效评</w:t>
      </w:r>
      <w:r>
        <w:rPr>
          <w:rFonts w:ascii="仿宋" w:hAnsi="仿宋" w:eastAsia="仿宋" w:cs="仿宋"/>
          <w:spacing w:val="9"/>
          <w:sz w:val="31"/>
          <w:szCs w:val="31"/>
        </w:rPr>
        <w:t>价，涉及一般公共预算支出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15.73</w:t>
      </w:r>
      <w:r>
        <w:rPr>
          <w:rFonts w:ascii="仿宋" w:hAnsi="仿宋" w:eastAsia="仿宋" w:cs="仿宋"/>
          <w:spacing w:val="9"/>
          <w:sz w:val="31"/>
          <w:szCs w:val="31"/>
        </w:rPr>
        <w:t>万元，政府性基金预算支出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万元，国有资本经营预算支出 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>万元。从评价情况来</w:t>
      </w:r>
      <w:r>
        <w:rPr>
          <w:rFonts w:ascii="仿宋" w:hAnsi="仿宋" w:eastAsia="仿宋" w:cs="仿宋"/>
          <w:spacing w:val="2"/>
          <w:sz w:val="31"/>
          <w:szCs w:val="31"/>
        </w:rPr>
        <w:t>看，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项目完成程度较好，各项指标达到要求。</w:t>
      </w:r>
    </w:p>
    <w:p w14:paraId="2D52D7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52" w:firstLineChars="200"/>
        <w:jc w:val="both"/>
        <w:textAlignment w:val="baseline"/>
        <w:rPr>
          <w:rFonts w:hint="eastAsia" w:ascii="仿宋" w:hAnsi="仿宋" w:eastAsia="仿宋" w:cs="仿宋"/>
          <w:spacing w:val="-81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8"/>
          <w:sz w:val="31"/>
          <w:szCs w:val="31"/>
        </w:rPr>
        <w:t>组织对本部门开展整体支出绩效评价，涉及一般公共预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15.73</w:t>
      </w:r>
      <w:r>
        <w:rPr>
          <w:rFonts w:ascii="仿宋" w:hAnsi="仿宋" w:eastAsia="仿宋" w:cs="仿宋"/>
          <w:spacing w:val="6"/>
          <w:sz w:val="31"/>
          <w:szCs w:val="31"/>
        </w:rPr>
        <w:t>万元，政府性基金预算支出</w:t>
      </w:r>
      <w:r>
        <w:rPr>
          <w:rFonts w:hint="eastAsia" w:ascii="仿宋" w:hAnsi="仿宋" w:eastAsia="仿宋" w:cs="仿宋"/>
          <w:spacing w:val="-6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万元。从评价</w:t>
      </w:r>
      <w:r>
        <w:rPr>
          <w:rFonts w:ascii="仿宋" w:hAnsi="仿宋" w:eastAsia="仿宋" w:cs="仿宋"/>
          <w:spacing w:val="5"/>
          <w:sz w:val="31"/>
          <w:szCs w:val="31"/>
        </w:rPr>
        <w:t>情况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来</w:t>
      </w:r>
      <w:r>
        <w:rPr>
          <w:rFonts w:ascii="仿宋" w:hAnsi="仿宋" w:eastAsia="仿宋" w:cs="仿宋"/>
          <w:spacing w:val="6"/>
          <w:sz w:val="31"/>
          <w:szCs w:val="31"/>
        </w:rPr>
        <w:t>看，</w:t>
      </w:r>
      <w:r>
        <w:rPr>
          <w:rFonts w:hint="eastAsia" w:ascii="仿宋" w:hAnsi="仿宋" w:eastAsia="仿宋" w:cs="仿宋"/>
          <w:spacing w:val="6"/>
          <w:sz w:val="31"/>
          <w:szCs w:val="31"/>
        </w:rPr>
        <w:t>项目完成程度较好，各项指标达到要求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。</w:t>
      </w:r>
    </w:p>
    <w:p w14:paraId="689CF26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4" w:firstLine="604" w:firstLineChars="200"/>
        <w:textAlignment w:val="baseline"/>
        <w:rPr>
          <w:rFonts w:ascii="仿宋" w:hAnsi="仿宋" w:eastAsia="仿宋" w:cs="仿宋"/>
          <w:spacing w:val="-4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项目绩效自评结果。</w:t>
      </w:r>
    </w:p>
    <w:p w14:paraId="29AFD7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textAlignment w:val="baseline"/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培训费</w:t>
      </w:r>
      <w:r>
        <w:rPr>
          <w:rFonts w:hint="eastAsia" w:ascii="仿宋" w:hAnsi="仿宋" w:eastAsia="仿宋" w:cs="仿宋"/>
          <w:spacing w:val="4"/>
          <w:sz w:val="31"/>
          <w:szCs w:val="31"/>
        </w:rPr>
        <w:t>项目绩效自评情况：根据年初设定的绩效目标，项目绩效自评得分为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95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分。项目全年预算数为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30</w:t>
      </w:r>
      <w:r>
        <w:rPr>
          <w:rFonts w:hint="eastAsia" w:ascii="仿宋" w:hAnsi="仿宋" w:eastAsia="仿宋" w:cs="仿宋"/>
          <w:spacing w:val="4"/>
          <w:sz w:val="31"/>
          <w:szCs w:val="31"/>
        </w:rPr>
        <w:t>万元，执行数为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19.61</w:t>
      </w:r>
      <w:r>
        <w:rPr>
          <w:rFonts w:hint="eastAsia" w:ascii="仿宋" w:hAnsi="仿宋" w:eastAsia="仿宋" w:cs="仿宋"/>
          <w:spacing w:val="4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65.36</w:t>
      </w:r>
      <w:r>
        <w:rPr>
          <w:rFonts w:hint="eastAsia" w:ascii="仿宋" w:hAnsi="仿宋" w:eastAsia="仿宋" w:cs="仿宋"/>
          <w:spacing w:val="4"/>
          <w:sz w:val="31"/>
          <w:szCs w:val="31"/>
        </w:rPr>
        <w:t>%。项目绩效目标完成情况：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完成党派培训活动</w:t>
      </w:r>
      <w:r>
        <w:rPr>
          <w:rFonts w:hint="eastAsia" w:ascii="仿宋" w:hAnsi="仿宋" w:eastAsia="仿宋" w:cs="仿宋"/>
          <w:spacing w:val="4"/>
          <w:sz w:val="31"/>
          <w:szCs w:val="31"/>
        </w:rPr>
        <w:t>。发现的主要问题及原因：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暂未发现问题。</w:t>
      </w:r>
    </w:p>
    <w:p w14:paraId="49647742">
      <w:pPr>
        <w:spacing w:before="49" w:line="366" w:lineRule="auto"/>
        <w:ind w:left="21" w:right="107" w:firstLine="641"/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党派活动及同心圆建设经费</w:t>
      </w:r>
      <w:r>
        <w:rPr>
          <w:rFonts w:ascii="仿宋" w:hAnsi="仿宋" w:eastAsia="仿宋" w:cs="仿宋"/>
          <w:spacing w:val="8"/>
          <w:sz w:val="31"/>
          <w:szCs w:val="31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95</w:t>
      </w:r>
      <w:r>
        <w:rPr>
          <w:rFonts w:ascii="仿宋" w:hAnsi="仿宋" w:eastAsia="仿宋" w:cs="仿宋"/>
          <w:spacing w:val="7"/>
          <w:sz w:val="31"/>
          <w:szCs w:val="31"/>
        </w:rPr>
        <w:t>分。项目全年预算数</w:t>
      </w:r>
      <w:r>
        <w:rPr>
          <w:rFonts w:ascii="仿宋" w:hAnsi="仿宋" w:eastAsia="仿宋" w:cs="仿宋"/>
          <w:spacing w:val="8"/>
          <w:sz w:val="31"/>
          <w:szCs w:val="31"/>
        </w:rPr>
        <w:t>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12.64</w:t>
      </w:r>
      <w:r>
        <w:rPr>
          <w:rFonts w:ascii="仿宋" w:hAnsi="仿宋" w:eastAsia="仿宋" w:cs="仿宋"/>
          <w:spacing w:val="8"/>
          <w:sz w:val="31"/>
          <w:szCs w:val="31"/>
        </w:rPr>
        <w:t>万元，执行</w:t>
      </w:r>
      <w:r>
        <w:rPr>
          <w:rFonts w:ascii="仿宋" w:hAnsi="仿宋" w:eastAsia="仿宋" w:cs="仿宋"/>
          <w:spacing w:val="8"/>
          <w:sz w:val="31"/>
          <w:szCs w:val="31"/>
        </w:rPr>
        <w:t>数为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9.05</w:t>
      </w:r>
      <w:r>
        <w:rPr>
          <w:rFonts w:ascii="仿宋" w:hAnsi="仿宋" w:eastAsia="仿宋" w:cs="仿宋"/>
          <w:spacing w:val="8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%。项目绩效目标完成情况：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建立了统战工作平台进一步画大同心圆，增进统一战线思想政治基础</w:t>
      </w:r>
      <w:r>
        <w:rPr>
          <w:rFonts w:ascii="仿宋" w:hAnsi="仿宋" w:eastAsia="仿宋" w:cs="仿宋"/>
          <w:spacing w:val="-1"/>
          <w:sz w:val="31"/>
          <w:szCs w:val="31"/>
        </w:rPr>
        <w:t>。发现的主要问题及原因：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暂未发现问题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089D98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（三）部门评价结果。</w:t>
      </w:r>
    </w:p>
    <w:p w14:paraId="318B2137">
      <w:pPr>
        <w:keepNext w:val="0"/>
        <w:keepLines w:val="0"/>
        <w:pageBreakBefore w:val="0"/>
        <w:widowControl/>
        <w:tabs>
          <w:tab w:val="left" w:pos="120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jc w:val="left"/>
        <w:textAlignment w:val="baseline"/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sectPr>
          <w:footerReference r:id="rId12" w:type="default"/>
          <w:pgSz w:w="11907" w:h="16839"/>
          <w:pgMar w:top="1431" w:right="1694" w:bottom="1153" w:left="1785" w:header="0" w:footer="965" w:gutter="0"/>
          <w:cols w:space="720" w:num="1"/>
        </w:sectPr>
      </w:pP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（1）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党外代表人士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组织学习2次。（2）围绕贯彻党的二十大，精神做好思想政治引领开展活动1次。（3）进一步提升统战工作科学化，召开领导小组会议1次（4）新建新的社会阶层人士实践创新基地2处(宝利科贸公司、百屹社区)、党派成员之家2处(民建之家、农工党员之家)。（5）统战部牵头组织区委统战工作领导小组“1+7”协调机制小组会议3次，及时协调解决民族、宗教、海外统战领域相关问题。（6）健全规范部务会议、“三会一课”等机关内部制度，积极引导党员干部参加学习、主题党日活动、认领微心愿。</w:t>
      </w:r>
    </w:p>
    <w:p w14:paraId="3DD22EDD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167AC5A3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（一）机关运行经费执行情况说明</w:t>
      </w:r>
    </w:p>
    <w:p w14:paraId="2417CDC8">
      <w:pPr>
        <w:spacing w:before="251" w:line="357" w:lineRule="auto"/>
        <w:ind w:left="19" w:right="170" w:firstLine="652"/>
        <w:rPr>
          <w:rFonts w:ascii="仿宋" w:hAnsi="仿宋" w:eastAsia="仿宋" w:cs="仿宋"/>
          <w:sz w:val="31"/>
          <w:szCs w:val="31"/>
          <w:highlight w:val="yellow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33.22</w:t>
      </w:r>
      <w:r>
        <w:rPr>
          <w:rFonts w:ascii="仿宋" w:hAnsi="仿宋" w:eastAsia="仿宋" w:cs="仿宋"/>
          <w:spacing w:val="7"/>
          <w:sz w:val="31"/>
          <w:szCs w:val="31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22.44</w:t>
      </w:r>
      <w:r>
        <w:rPr>
          <w:rFonts w:ascii="仿宋" w:hAnsi="仿宋" w:eastAsia="仿宋" w:cs="仿宋"/>
          <w:spacing w:val="-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208.16</w:t>
      </w:r>
      <w:r>
        <w:rPr>
          <w:rFonts w:ascii="宋体" w:hAnsi="宋体" w:eastAsia="宋体" w:cs="宋体"/>
          <w:spacing w:val="-4"/>
          <w:sz w:val="31"/>
          <w:szCs w:val="31"/>
        </w:rPr>
        <w:t>%</w:t>
      </w:r>
      <w:r>
        <w:rPr>
          <w:rFonts w:ascii="仿宋" w:hAnsi="仿宋" w:eastAsia="仿宋" w:cs="仿宋"/>
          <w:spacing w:val="-4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-4"/>
          <w:sz w:val="31"/>
          <w:szCs w:val="31"/>
          <w:highlight w:val="none"/>
          <w:lang w:eastAsia="zh-CN"/>
        </w:rPr>
        <w:t>培训费增加</w:t>
      </w:r>
      <w:r>
        <w:rPr>
          <w:rFonts w:ascii="仿宋" w:hAnsi="仿宋" w:eastAsia="仿宋" w:cs="仿宋"/>
          <w:spacing w:val="-5"/>
          <w:sz w:val="31"/>
          <w:szCs w:val="31"/>
          <w:highlight w:val="none"/>
        </w:rPr>
        <w:t>。</w:t>
      </w:r>
    </w:p>
    <w:p w14:paraId="2A71B2D6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12E63654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2023</w:t>
      </w:r>
      <w:r>
        <w:rPr>
          <w:rFonts w:ascii="仿宋" w:hAnsi="仿宋" w:eastAsia="仿宋" w:cs="仿宋"/>
          <w:spacing w:val="8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其中：政府采购货物支出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万元。授予中小企业合同金额</w:t>
      </w:r>
      <w:r>
        <w:rPr>
          <w:rFonts w:hint="eastAsia" w:ascii="仿宋" w:hAnsi="仿宋" w:eastAsia="仿宋" w:cs="仿宋"/>
          <w:spacing w:val="2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万元，占政府采购支出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万元，占授予中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5A0780EA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55C23DF1">
      <w:pPr>
        <w:spacing w:before="286" w:line="340" w:lineRule="auto"/>
        <w:ind w:left="2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宋体" w:hAnsi="宋体" w:eastAsia="宋体" w:cs="宋体"/>
          <w:sz w:val="31"/>
          <w:szCs w:val="31"/>
        </w:rPr>
        <w:t>2023</w:t>
      </w:r>
      <w:r>
        <w:rPr>
          <w:rFonts w:ascii="仿宋" w:hAnsi="仿宋" w:eastAsia="仿宋" w:cs="仿宋"/>
          <w:sz w:val="31"/>
          <w:szCs w:val="31"/>
        </w:rPr>
        <w:t>年</w:t>
      </w:r>
      <w:r>
        <w:rPr>
          <w:rFonts w:ascii="宋体" w:hAnsi="宋体" w:eastAsia="宋体" w:cs="宋体"/>
          <w:sz w:val="31"/>
          <w:szCs w:val="31"/>
        </w:rPr>
        <w:t>12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宋体" w:hAnsi="宋体" w:eastAsia="宋体" w:cs="宋体"/>
          <w:sz w:val="31"/>
          <w:szCs w:val="31"/>
        </w:rPr>
        <w:t>31</w:t>
      </w:r>
      <w:r>
        <w:rPr>
          <w:rFonts w:ascii="仿宋" w:hAnsi="仿宋" w:eastAsia="仿宋" w:cs="仿宋"/>
          <w:sz w:val="31"/>
          <w:szCs w:val="31"/>
        </w:rPr>
        <w:t>日，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中共长春市南关区委统一战线工作部</w:t>
      </w:r>
      <w:r>
        <w:rPr>
          <w:rFonts w:ascii="仿宋" w:hAnsi="仿宋" w:eastAsia="仿宋" w:cs="仿宋"/>
          <w:spacing w:val="-1"/>
          <w:sz w:val="31"/>
          <w:szCs w:val="31"/>
        </w:rPr>
        <w:t>共有</w:t>
      </w:r>
      <w:r>
        <w:rPr>
          <w:rFonts w:ascii="仿宋" w:hAnsi="仿宋" w:eastAsia="仿宋" w:cs="仿宋"/>
          <w:spacing w:val="7"/>
          <w:sz w:val="31"/>
          <w:szCs w:val="31"/>
        </w:rPr>
        <w:t>车辆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辆，其中，副部（省）级及以上领导用车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辆、主</w:t>
      </w:r>
      <w:r>
        <w:rPr>
          <w:rFonts w:ascii="仿宋" w:hAnsi="仿宋" w:eastAsia="仿宋" w:cs="仿宋"/>
          <w:spacing w:val="8"/>
          <w:sz w:val="31"/>
          <w:szCs w:val="31"/>
        </w:rPr>
        <w:t>要负责人用车</w:t>
      </w:r>
      <w:r>
        <w:rPr>
          <w:rFonts w:hint="eastAsia" w:ascii="仿宋" w:hAnsi="仿宋" w:eastAsia="仿宋" w:cs="仿宋"/>
          <w:spacing w:val="-5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辆、机要通信用车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辆、应急保障用车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辆、执法执勤用车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辆、特种专业技术用车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</w:t>
      </w:r>
      <w:r>
        <w:rPr>
          <w:rFonts w:ascii="仿宋" w:hAnsi="仿宋" w:eastAsia="仿宋" w:cs="仿宋"/>
          <w:spacing w:val="11"/>
          <w:sz w:val="31"/>
          <w:szCs w:val="31"/>
        </w:rPr>
        <w:t>、离退休</w:t>
      </w:r>
      <w:r>
        <w:rPr>
          <w:rFonts w:ascii="仿宋" w:hAnsi="仿宋" w:eastAsia="仿宋" w:cs="仿宋"/>
          <w:spacing w:val="8"/>
          <w:sz w:val="31"/>
          <w:szCs w:val="31"/>
        </w:rPr>
        <w:t>干部用车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辆、其他用车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辆；单</w:t>
      </w:r>
      <w:r>
        <w:rPr>
          <w:rFonts w:ascii="仿宋" w:hAnsi="仿宋" w:eastAsia="仿宋" w:cs="仿宋"/>
          <w:spacing w:val="2"/>
          <w:sz w:val="31"/>
          <w:szCs w:val="31"/>
        </w:rPr>
        <w:t>位价值</w:t>
      </w:r>
      <w:r>
        <w:rPr>
          <w:rFonts w:ascii="宋体" w:hAnsi="宋体" w:eastAsia="宋体" w:cs="宋体"/>
          <w:spacing w:val="2"/>
          <w:sz w:val="31"/>
          <w:szCs w:val="31"/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万元（含）以上设备（不含车辆）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台（套）。</w:t>
      </w:r>
    </w:p>
    <w:p w14:paraId="6659FB9D">
      <w:pPr>
        <w:spacing w:line="340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7" w:h="16839"/>
          <w:pgMar w:top="1431" w:right="1774" w:bottom="1153" w:left="1785" w:header="0" w:footer="965" w:gutter="0"/>
          <w:cols w:space="720" w:num="1"/>
        </w:sectPr>
      </w:pPr>
    </w:p>
    <w:p w14:paraId="6C0A7F4B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4941EEDA">
      <w:pPr>
        <w:pStyle w:val="2"/>
        <w:spacing w:line="315" w:lineRule="auto"/>
      </w:pPr>
      <w:bookmarkStart w:id="0" w:name="_GoBack"/>
      <w:bookmarkEnd w:id="0"/>
    </w:p>
    <w:p w14:paraId="694D8F21">
      <w:pPr>
        <w:pStyle w:val="2"/>
        <w:spacing w:line="315" w:lineRule="auto"/>
      </w:pPr>
    </w:p>
    <w:p w14:paraId="42FE3E06">
      <w:pPr>
        <w:pStyle w:val="2"/>
        <w:spacing w:line="315" w:lineRule="auto"/>
      </w:pPr>
    </w:p>
    <w:p w14:paraId="49DF8C69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2D69CE94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4A04659E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17A6B213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3BC3F1B0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404072A0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6A978038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03751AE1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3ADA8926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C63DA1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5F22D6D1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7309B3C7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7DEFD4A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6D91F608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1E3B9C31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15861BAB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DAD2BE0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008AF2D4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6C5B4870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28AF4CF3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2B4CF9D3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3409B601">
      <w:pPr>
        <w:spacing w:before="249" w:line="355" w:lineRule="auto"/>
        <w:ind w:left="26" w:right="98" w:firstLine="648"/>
        <w:rPr>
          <w:rFonts w:ascii="仿宋" w:hAnsi="仿宋" w:eastAsia="仿宋" w:cs="仿宋"/>
          <w:sz w:val="31"/>
          <w:szCs w:val="31"/>
        </w:rPr>
      </w:pPr>
    </w:p>
    <w:sectPr>
      <w:footerReference r:id="rId16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6F9E8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95C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39F47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E6E8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DA60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43505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A395">
    <w:pPr>
      <w:spacing w:line="174" w:lineRule="auto"/>
      <w:ind w:left="4124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EDCFA">
    <w:pPr>
      <w:spacing w:line="176" w:lineRule="auto"/>
      <w:ind w:left="412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7BFBE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10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8E2E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AF8E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0FE4">
    <w:pPr>
      <w:spacing w:line="177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9EFE5F"/>
    <w:multiLevelType w:val="singleLevel"/>
    <w:tmpl w:val="AE9EFE5F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VjZDg0ZjYzOTk1NDVmZmI4YjBlZWRkOTk5YzMwNTMifQ=="/>
  </w:docVars>
  <w:rsids>
    <w:rsidRoot w:val="00000000"/>
    <w:rsid w:val="005A7208"/>
    <w:rsid w:val="04C36366"/>
    <w:rsid w:val="10771710"/>
    <w:rsid w:val="10A83678"/>
    <w:rsid w:val="12445622"/>
    <w:rsid w:val="193E726F"/>
    <w:rsid w:val="1B520DB0"/>
    <w:rsid w:val="1BC928F2"/>
    <w:rsid w:val="21CA2558"/>
    <w:rsid w:val="22C37940"/>
    <w:rsid w:val="252F5CBE"/>
    <w:rsid w:val="268A3AF4"/>
    <w:rsid w:val="28D4718D"/>
    <w:rsid w:val="2BEC2B5B"/>
    <w:rsid w:val="2D46583E"/>
    <w:rsid w:val="2D5C5ABE"/>
    <w:rsid w:val="2F0138CA"/>
    <w:rsid w:val="2FDE6C5E"/>
    <w:rsid w:val="322F6CC1"/>
    <w:rsid w:val="35040F15"/>
    <w:rsid w:val="370E54FF"/>
    <w:rsid w:val="38175E53"/>
    <w:rsid w:val="383218F5"/>
    <w:rsid w:val="3A80103E"/>
    <w:rsid w:val="3EEF22EE"/>
    <w:rsid w:val="40E165AE"/>
    <w:rsid w:val="41581F02"/>
    <w:rsid w:val="44A973E3"/>
    <w:rsid w:val="46113492"/>
    <w:rsid w:val="47A3636C"/>
    <w:rsid w:val="47B440D5"/>
    <w:rsid w:val="47DD7AD0"/>
    <w:rsid w:val="493274C3"/>
    <w:rsid w:val="4B25774B"/>
    <w:rsid w:val="4B481704"/>
    <w:rsid w:val="4B5E0F27"/>
    <w:rsid w:val="4F762F6E"/>
    <w:rsid w:val="4F860A4D"/>
    <w:rsid w:val="50F00DE2"/>
    <w:rsid w:val="57A44166"/>
    <w:rsid w:val="57DF519E"/>
    <w:rsid w:val="5A7122F9"/>
    <w:rsid w:val="60695F4D"/>
    <w:rsid w:val="608702E5"/>
    <w:rsid w:val="6D851EEC"/>
    <w:rsid w:val="762C55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png"/><Relationship Id="rId21" Type="http://schemas.openxmlformats.org/officeDocument/2006/relationships/image" Target="media/image4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" Type="http://schemas.openxmlformats.org/officeDocument/2006/relationships/image" Target="media/image2.pn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5414</Words>
  <Characters>5730</Characters>
  <TotalTime>9</TotalTime>
  <ScaleCrop>false</ScaleCrop>
  <LinksUpToDate>false</LinksUpToDate>
  <CharactersWithSpaces>5970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A  王佳旬18943155412</cp:lastModifiedBy>
  <dcterms:modified xsi:type="dcterms:W3CDTF">2024-09-05T04:04:29Z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2024-08-27T09:13:36Z</vt:filetime>
  </property>
  <property fmtid="{D5CDD505-2E9C-101B-9397-08002B2CF9AE}" pid="4" name="KSOProductBuildVer">
    <vt:lpwstr>2052-12.1.0.17857</vt:lpwstr>
  </property>
  <property fmtid="{D5CDD505-2E9C-101B-9397-08002B2CF9AE}" pid="5" name="ICV">
    <vt:lpwstr>69CA03051292459792D62F8AF2CD4823_12</vt:lpwstr>
  </property>
</Properties>
</file>