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A8DC9">
      <w:pPr>
        <w:spacing w:before="180" w:line="219" w:lineRule="auto"/>
        <w:ind w:left="47"/>
        <w:rPr>
          <w:rFonts w:ascii="宋体" w:hAnsi="宋体" w:eastAsia="宋体" w:cs="宋体"/>
          <w:sz w:val="28"/>
          <w:szCs w:val="28"/>
        </w:rPr>
      </w:pPr>
      <w:r>
        <w:rPr>
          <w:rFonts w:ascii="宋体" w:hAnsi="宋体" w:eastAsia="宋体" w:cs="宋体"/>
          <w:spacing w:val="-22"/>
          <w:sz w:val="28"/>
          <w:szCs w:val="28"/>
        </w:rPr>
        <w:t>附</w:t>
      </w:r>
      <w:r>
        <w:rPr>
          <w:rFonts w:ascii="宋体" w:hAnsi="宋体" w:eastAsia="宋体" w:cs="宋体"/>
          <w:spacing w:val="-20"/>
          <w:sz w:val="28"/>
          <w:szCs w:val="28"/>
        </w:rPr>
        <w:t>件 1：</w:t>
      </w:r>
    </w:p>
    <w:p w14:paraId="08B5AAC5">
      <w:pPr>
        <w:spacing w:line="253" w:lineRule="auto"/>
        <w:rPr>
          <w:rFonts w:ascii="Arial"/>
          <w:sz w:val="21"/>
        </w:rPr>
      </w:pPr>
    </w:p>
    <w:p w14:paraId="2324329F">
      <w:pPr>
        <w:spacing w:line="253" w:lineRule="auto"/>
        <w:rPr>
          <w:rFonts w:ascii="Arial"/>
          <w:sz w:val="21"/>
        </w:rPr>
      </w:pPr>
    </w:p>
    <w:p w14:paraId="10E04755">
      <w:pPr>
        <w:spacing w:line="253" w:lineRule="auto"/>
        <w:rPr>
          <w:rFonts w:ascii="Arial"/>
          <w:sz w:val="21"/>
        </w:rPr>
      </w:pPr>
    </w:p>
    <w:p w14:paraId="1C2D2AB1">
      <w:pPr>
        <w:spacing w:line="253" w:lineRule="auto"/>
        <w:rPr>
          <w:rFonts w:ascii="Arial"/>
          <w:sz w:val="21"/>
        </w:rPr>
      </w:pPr>
    </w:p>
    <w:p w14:paraId="467F1D5E">
      <w:pPr>
        <w:spacing w:line="253" w:lineRule="auto"/>
        <w:rPr>
          <w:rFonts w:ascii="Arial"/>
          <w:sz w:val="21"/>
        </w:rPr>
      </w:pPr>
    </w:p>
    <w:p w14:paraId="2E72E413">
      <w:pPr>
        <w:spacing w:line="254" w:lineRule="auto"/>
        <w:rPr>
          <w:rFonts w:ascii="Arial"/>
          <w:sz w:val="21"/>
        </w:rPr>
      </w:pPr>
    </w:p>
    <w:p w14:paraId="09BC162E">
      <w:pPr>
        <w:spacing w:line="254" w:lineRule="auto"/>
        <w:rPr>
          <w:rFonts w:ascii="Arial"/>
          <w:sz w:val="21"/>
        </w:rPr>
      </w:pPr>
    </w:p>
    <w:p w14:paraId="4F1ADBA0">
      <w:pPr>
        <w:spacing w:line="254" w:lineRule="auto"/>
        <w:rPr>
          <w:rFonts w:ascii="Arial"/>
          <w:sz w:val="21"/>
        </w:rPr>
      </w:pPr>
    </w:p>
    <w:p w14:paraId="6EF24792">
      <w:pPr>
        <w:spacing w:line="254" w:lineRule="auto"/>
        <w:rPr>
          <w:rFonts w:ascii="Arial"/>
          <w:sz w:val="21"/>
        </w:rPr>
      </w:pPr>
    </w:p>
    <w:p w14:paraId="765F1E7A">
      <w:pPr>
        <w:spacing w:line="254" w:lineRule="auto"/>
        <w:rPr>
          <w:rFonts w:ascii="Arial"/>
          <w:sz w:val="21"/>
        </w:rPr>
      </w:pPr>
    </w:p>
    <w:p w14:paraId="47D34A41">
      <w:pPr>
        <w:spacing w:line="254" w:lineRule="auto"/>
        <w:rPr>
          <w:rFonts w:ascii="Arial"/>
          <w:sz w:val="21"/>
        </w:rPr>
      </w:pPr>
    </w:p>
    <w:p w14:paraId="24E217C4">
      <w:pPr>
        <w:spacing w:line="254" w:lineRule="auto"/>
        <w:rPr>
          <w:rFonts w:ascii="Arial"/>
          <w:sz w:val="21"/>
        </w:rPr>
      </w:pPr>
    </w:p>
    <w:p w14:paraId="348C1CB5">
      <w:pPr>
        <w:spacing w:line="254" w:lineRule="auto"/>
        <w:rPr>
          <w:rFonts w:ascii="Arial"/>
          <w:sz w:val="21"/>
        </w:rPr>
      </w:pPr>
    </w:p>
    <w:p w14:paraId="6017E258">
      <w:pPr>
        <w:jc w:val="center"/>
        <w:rPr>
          <w:rFonts w:hint="eastAsia" w:ascii="Arial" w:hAnsi="Arial" w:eastAsia="方正小标宋简体" w:cs="Arial"/>
          <w:sz w:val="44"/>
          <w:szCs w:val="44"/>
          <w:lang w:val="en-US" w:eastAsia="zh-CN"/>
        </w:rPr>
      </w:pPr>
      <w:r>
        <w:rPr>
          <w:rFonts w:hint="eastAsia" w:ascii="Arial" w:hAnsi="Arial" w:eastAsia="方正小标宋简体" w:cs="Arial"/>
          <w:sz w:val="44"/>
          <w:szCs w:val="44"/>
        </w:rPr>
        <w:t>2023</w:t>
      </w:r>
      <w:r>
        <w:rPr>
          <w:rFonts w:hint="eastAsia" w:ascii="Arial" w:hAnsi="Arial" w:eastAsia="方正小标宋简体" w:cs="Arial"/>
          <w:sz w:val="44"/>
          <w:szCs w:val="44"/>
          <w:lang w:val="en-US" w:eastAsia="zh-CN"/>
        </w:rPr>
        <w:t>年度</w:t>
      </w:r>
    </w:p>
    <w:p w14:paraId="0110AD9D">
      <w:pPr>
        <w:spacing w:before="140" w:line="217" w:lineRule="auto"/>
        <w:ind w:left="3255"/>
        <w:rPr>
          <w:sz w:val="43"/>
          <w:szCs w:val="43"/>
        </w:rPr>
      </w:pPr>
    </w:p>
    <w:p w14:paraId="1F47E501">
      <w:pPr>
        <w:spacing w:line="299" w:lineRule="auto"/>
        <w:rPr>
          <w:rFonts w:ascii="Arial"/>
          <w:sz w:val="21"/>
        </w:rPr>
      </w:pPr>
    </w:p>
    <w:p w14:paraId="43685305">
      <w:pPr>
        <w:spacing w:line="300" w:lineRule="auto"/>
        <w:rPr>
          <w:rFonts w:ascii="Arial"/>
          <w:sz w:val="21"/>
        </w:rPr>
      </w:pPr>
    </w:p>
    <w:p w14:paraId="5CD5DDFC">
      <w:pPr>
        <w:jc w:val="center"/>
        <w:rPr>
          <w:rFonts w:ascii="Arial" w:hAnsi="Arial" w:eastAsia="方正小标宋简体" w:cs="Arial"/>
          <w:sz w:val="44"/>
          <w:szCs w:val="44"/>
        </w:rPr>
      </w:pPr>
      <w:r>
        <w:rPr>
          <w:rFonts w:hint="eastAsia" w:ascii="Arial" w:hAnsi="Arial" w:eastAsia="方正小标宋简体" w:cs="Arial"/>
          <w:sz w:val="44"/>
          <w:szCs w:val="44"/>
        </w:rPr>
        <w:t>中共长春市南关区委组织部</w:t>
      </w:r>
      <w:r>
        <w:rPr>
          <w:rFonts w:ascii="Arial" w:hAnsi="Arial" w:eastAsia="方正小标宋简体" w:cs="Arial"/>
          <w:sz w:val="44"/>
          <w:szCs w:val="44"/>
        </w:rPr>
        <w:t>部门决算</w:t>
      </w:r>
    </w:p>
    <w:p w14:paraId="56E9D2E1">
      <w:pPr>
        <w:jc w:val="center"/>
        <w:rPr>
          <w:rFonts w:hint="eastAsia" w:ascii="Arial" w:hAnsi="Arial" w:eastAsia="方正小标宋简体" w:cs="Arial"/>
          <w:sz w:val="44"/>
          <w:szCs w:val="44"/>
        </w:rPr>
      </w:pPr>
    </w:p>
    <w:p w14:paraId="2269F81B">
      <w:pPr>
        <w:spacing w:line="245" w:lineRule="auto"/>
        <w:rPr>
          <w:rFonts w:ascii="Arial"/>
          <w:sz w:val="21"/>
        </w:rPr>
      </w:pPr>
    </w:p>
    <w:p w14:paraId="019C1219">
      <w:pPr>
        <w:spacing w:line="245" w:lineRule="auto"/>
        <w:rPr>
          <w:rFonts w:ascii="Arial"/>
          <w:sz w:val="21"/>
        </w:rPr>
      </w:pPr>
    </w:p>
    <w:p w14:paraId="66F0BBAD">
      <w:pPr>
        <w:spacing w:line="245" w:lineRule="auto"/>
        <w:rPr>
          <w:rFonts w:ascii="Arial"/>
          <w:sz w:val="21"/>
        </w:rPr>
      </w:pPr>
    </w:p>
    <w:p w14:paraId="047D4BFF">
      <w:pPr>
        <w:spacing w:line="245" w:lineRule="auto"/>
        <w:rPr>
          <w:rFonts w:ascii="Arial"/>
          <w:sz w:val="21"/>
        </w:rPr>
      </w:pPr>
    </w:p>
    <w:p w14:paraId="24211209">
      <w:pPr>
        <w:spacing w:line="245" w:lineRule="auto"/>
        <w:rPr>
          <w:rFonts w:ascii="Arial"/>
          <w:sz w:val="21"/>
        </w:rPr>
      </w:pPr>
    </w:p>
    <w:p w14:paraId="573F7906">
      <w:pPr>
        <w:spacing w:line="245" w:lineRule="auto"/>
        <w:rPr>
          <w:rFonts w:ascii="Arial"/>
          <w:sz w:val="21"/>
        </w:rPr>
      </w:pPr>
    </w:p>
    <w:p w14:paraId="14B63FA9">
      <w:pPr>
        <w:spacing w:line="245" w:lineRule="auto"/>
        <w:rPr>
          <w:rFonts w:ascii="Arial"/>
          <w:sz w:val="21"/>
        </w:rPr>
      </w:pPr>
    </w:p>
    <w:p w14:paraId="5C0F761F">
      <w:pPr>
        <w:spacing w:line="245" w:lineRule="auto"/>
        <w:rPr>
          <w:rFonts w:ascii="Arial"/>
          <w:sz w:val="21"/>
        </w:rPr>
      </w:pPr>
    </w:p>
    <w:p w14:paraId="0EE080EE">
      <w:pPr>
        <w:spacing w:line="246" w:lineRule="auto"/>
        <w:rPr>
          <w:rFonts w:ascii="Arial"/>
          <w:sz w:val="21"/>
        </w:rPr>
      </w:pPr>
    </w:p>
    <w:p w14:paraId="414DA526">
      <w:pPr>
        <w:spacing w:line="246" w:lineRule="auto"/>
        <w:rPr>
          <w:rFonts w:ascii="Arial"/>
          <w:sz w:val="21"/>
        </w:rPr>
      </w:pPr>
    </w:p>
    <w:p w14:paraId="3E75959E">
      <w:pPr>
        <w:spacing w:line="246" w:lineRule="auto"/>
        <w:rPr>
          <w:rFonts w:ascii="Arial"/>
          <w:sz w:val="21"/>
        </w:rPr>
      </w:pPr>
    </w:p>
    <w:p w14:paraId="76882669">
      <w:pPr>
        <w:spacing w:line="246" w:lineRule="auto"/>
        <w:rPr>
          <w:rFonts w:ascii="Arial"/>
          <w:sz w:val="21"/>
        </w:rPr>
      </w:pPr>
    </w:p>
    <w:p w14:paraId="4E0B9502">
      <w:pPr>
        <w:spacing w:line="246" w:lineRule="auto"/>
        <w:rPr>
          <w:rFonts w:ascii="Arial"/>
          <w:sz w:val="21"/>
        </w:rPr>
      </w:pPr>
    </w:p>
    <w:p w14:paraId="3B3FCFBB">
      <w:pPr>
        <w:spacing w:line="246" w:lineRule="auto"/>
        <w:rPr>
          <w:rFonts w:ascii="Arial"/>
          <w:sz w:val="21"/>
        </w:rPr>
      </w:pPr>
    </w:p>
    <w:p w14:paraId="568FA68E">
      <w:pPr>
        <w:spacing w:line="246" w:lineRule="auto"/>
        <w:rPr>
          <w:rFonts w:ascii="Arial"/>
          <w:sz w:val="21"/>
        </w:rPr>
      </w:pPr>
    </w:p>
    <w:p w14:paraId="14BEC943">
      <w:pPr>
        <w:spacing w:line="246" w:lineRule="auto"/>
        <w:rPr>
          <w:rFonts w:ascii="Arial"/>
          <w:sz w:val="21"/>
        </w:rPr>
      </w:pPr>
    </w:p>
    <w:p w14:paraId="6CB20235">
      <w:pPr>
        <w:spacing w:line="246" w:lineRule="auto"/>
        <w:rPr>
          <w:rFonts w:ascii="Arial"/>
          <w:sz w:val="21"/>
        </w:rPr>
      </w:pPr>
    </w:p>
    <w:p w14:paraId="38B18806">
      <w:pPr>
        <w:spacing w:line="246" w:lineRule="auto"/>
        <w:rPr>
          <w:rFonts w:ascii="Arial"/>
          <w:sz w:val="21"/>
        </w:rPr>
      </w:pPr>
    </w:p>
    <w:p w14:paraId="63C3C9BA">
      <w:pPr>
        <w:spacing w:line="246" w:lineRule="auto"/>
        <w:rPr>
          <w:rFonts w:ascii="Arial"/>
          <w:sz w:val="21"/>
        </w:rPr>
      </w:pPr>
    </w:p>
    <w:p w14:paraId="78D384C9">
      <w:pPr>
        <w:spacing w:line="246" w:lineRule="auto"/>
        <w:rPr>
          <w:rFonts w:ascii="Arial"/>
          <w:sz w:val="21"/>
        </w:rPr>
      </w:pPr>
    </w:p>
    <w:p w14:paraId="34EAB25A">
      <w:pPr>
        <w:spacing w:before="101" w:line="224" w:lineRule="auto"/>
        <w:ind w:left="2944"/>
        <w:rPr>
          <w:rFonts w:ascii="仿宋" w:hAnsi="仿宋" w:eastAsia="仿宋" w:cs="仿宋"/>
          <w:sz w:val="31"/>
          <w:szCs w:val="31"/>
        </w:rPr>
      </w:pPr>
      <w:r>
        <w:rPr>
          <w:rFonts w:ascii="宋体" w:hAnsi="宋体" w:eastAsia="宋体" w:cs="宋体"/>
          <w:spacing w:val="5"/>
          <w:sz w:val="31"/>
          <w:szCs w:val="31"/>
        </w:rPr>
        <w:t xml:space="preserve">2024 </w:t>
      </w:r>
      <w:r>
        <w:rPr>
          <w:rFonts w:ascii="仿宋" w:hAnsi="仿宋" w:eastAsia="仿宋" w:cs="仿宋"/>
          <w:spacing w:val="5"/>
          <w:sz w:val="31"/>
          <w:szCs w:val="31"/>
        </w:rPr>
        <w:t>年</w:t>
      </w:r>
      <w:r>
        <w:rPr>
          <w:rFonts w:hint="eastAsia" w:ascii="仿宋" w:hAnsi="仿宋" w:eastAsia="仿宋" w:cs="仿宋"/>
          <w:spacing w:val="5"/>
          <w:sz w:val="31"/>
          <w:szCs w:val="31"/>
          <w:lang w:val="en-US" w:eastAsia="zh-CN"/>
        </w:rPr>
        <w:t xml:space="preserve"> 9 </w:t>
      </w:r>
      <w:r>
        <w:rPr>
          <w:rFonts w:ascii="仿宋" w:hAnsi="仿宋" w:eastAsia="仿宋" w:cs="仿宋"/>
          <w:spacing w:val="5"/>
          <w:sz w:val="31"/>
          <w:szCs w:val="31"/>
        </w:rPr>
        <w:t>月</w:t>
      </w:r>
      <w:r>
        <w:rPr>
          <w:rFonts w:hint="eastAsia" w:ascii="仿宋" w:hAnsi="仿宋" w:eastAsia="仿宋" w:cs="仿宋"/>
          <w:spacing w:val="5"/>
          <w:sz w:val="31"/>
          <w:szCs w:val="31"/>
          <w:lang w:val="en-US" w:eastAsia="zh-CN"/>
        </w:rPr>
        <w:t xml:space="preserve"> 4 </w:t>
      </w:r>
      <w:r>
        <w:rPr>
          <w:rFonts w:ascii="仿宋" w:hAnsi="仿宋" w:eastAsia="仿宋" w:cs="仿宋"/>
          <w:spacing w:val="2"/>
          <w:sz w:val="31"/>
          <w:szCs w:val="31"/>
        </w:rPr>
        <w:t>日</w:t>
      </w:r>
    </w:p>
    <w:p w14:paraId="33F289BF">
      <w:pPr>
        <w:sectPr>
          <w:footerReference r:id="rId5" w:type="default"/>
          <w:pgSz w:w="11907" w:h="16839"/>
          <w:pgMar w:top="1431" w:right="1785" w:bottom="1153" w:left="1785" w:header="0" w:footer="965" w:gutter="0"/>
          <w:pgNumType w:fmt="decimal"/>
          <w:cols w:space="720" w:num="1"/>
        </w:sectPr>
      </w:pPr>
    </w:p>
    <w:p w14:paraId="4E888676">
      <w:pPr>
        <w:spacing w:line="289" w:lineRule="auto"/>
        <w:rPr>
          <w:rFonts w:ascii="Arial"/>
          <w:sz w:val="21"/>
        </w:rPr>
      </w:pPr>
    </w:p>
    <w:p w14:paraId="32642BE4">
      <w:pPr>
        <w:spacing w:line="290" w:lineRule="auto"/>
        <w:rPr>
          <w:rFonts w:ascii="Arial"/>
          <w:sz w:val="21"/>
        </w:rPr>
      </w:pPr>
    </w:p>
    <w:p w14:paraId="4C1A310D">
      <w:pPr>
        <w:spacing w:before="140" w:line="223" w:lineRule="auto"/>
        <w:ind w:left="3502"/>
        <w:rPr>
          <w:rFonts w:ascii="仿宋" w:hAnsi="仿宋" w:eastAsia="仿宋" w:cs="仿宋"/>
          <w:sz w:val="43"/>
          <w:szCs w:val="43"/>
        </w:rPr>
      </w:pPr>
      <w:r>
        <w:rPr>
          <w:rFonts w:ascii="仿宋" w:hAnsi="仿宋" w:eastAsia="仿宋" w:cs="仿宋"/>
          <w:spacing w:val="-7"/>
          <w:sz w:val="43"/>
          <w:szCs w:val="43"/>
        </w:rPr>
        <w:t>目   录</w:t>
      </w:r>
    </w:p>
    <w:p w14:paraId="050A7586">
      <w:pPr>
        <w:spacing w:line="341" w:lineRule="auto"/>
        <w:rPr>
          <w:rFonts w:ascii="Arial"/>
          <w:sz w:val="21"/>
        </w:rPr>
      </w:pPr>
    </w:p>
    <w:p w14:paraId="2C095156">
      <w:pPr>
        <w:spacing w:line="342" w:lineRule="auto"/>
        <w:rPr>
          <w:rFonts w:ascii="Arial"/>
          <w:sz w:val="21"/>
        </w:rPr>
      </w:pPr>
    </w:p>
    <w:p w14:paraId="32CC63A0">
      <w:pPr>
        <w:spacing w:before="101" w:line="223" w:lineRule="auto"/>
        <w:ind w:left="49"/>
        <w:rPr>
          <w:rFonts w:ascii="仿宋" w:hAnsi="仿宋" w:eastAsia="仿宋" w:cs="仿宋"/>
          <w:sz w:val="31"/>
          <w:szCs w:val="31"/>
        </w:rPr>
      </w:pPr>
      <w:r>
        <w:rPr>
          <w:rFonts w:ascii="仿宋" w:hAnsi="仿宋" w:eastAsia="仿宋" w:cs="仿宋"/>
          <w:spacing w:val="10"/>
          <w:sz w:val="31"/>
          <w:szCs w:val="31"/>
          <w14:textOutline w14:w="5791" w14:cap="flat" w14:cmpd="sng">
            <w14:solidFill>
              <w14:srgbClr w14:val="000000"/>
            </w14:solidFill>
            <w14:prstDash w14:val="solid"/>
            <w14:miter w14:val="0"/>
          </w14:textOutline>
        </w:rPr>
        <w:t>第</w:t>
      </w:r>
      <w:r>
        <w:rPr>
          <w:rFonts w:ascii="仿宋" w:hAnsi="仿宋" w:eastAsia="仿宋" w:cs="仿宋"/>
          <w:spacing w:val="6"/>
          <w:sz w:val="31"/>
          <w:szCs w:val="31"/>
          <w14:textOutline w14:w="5791" w14:cap="flat" w14:cmpd="sng">
            <w14:solidFill>
              <w14:srgbClr w14:val="000000"/>
            </w14:solidFill>
            <w14:prstDash w14:val="solid"/>
            <w14:miter w14:val="0"/>
          </w14:textOutline>
        </w:rPr>
        <w:t>一部分</w:t>
      </w:r>
      <w:r>
        <w:rPr>
          <w:rFonts w:ascii="仿宋" w:hAnsi="仿宋" w:eastAsia="仿宋" w:cs="仿宋"/>
          <w:spacing w:val="6"/>
          <w:sz w:val="31"/>
          <w:szCs w:val="31"/>
        </w:rPr>
        <w:t xml:space="preserve">  </w:t>
      </w:r>
      <w:r>
        <w:rPr>
          <w:rFonts w:ascii="仿宋" w:hAnsi="仿宋" w:eastAsia="仿宋" w:cs="仿宋"/>
          <w:spacing w:val="6"/>
          <w:sz w:val="31"/>
          <w:szCs w:val="31"/>
          <w14:textOutline w14:w="5791" w14:cap="flat" w14:cmpd="sng">
            <w14:solidFill>
              <w14:srgbClr w14:val="000000"/>
            </w14:solidFill>
            <w14:prstDash w14:val="solid"/>
            <w14:miter w14:val="0"/>
          </w14:textOutline>
        </w:rPr>
        <w:t>部门概况</w:t>
      </w:r>
    </w:p>
    <w:p w14:paraId="315A8D67">
      <w:pPr>
        <w:spacing w:before="249" w:line="223" w:lineRule="auto"/>
        <w:ind w:left="40"/>
        <w:rPr>
          <w:rFonts w:ascii="仿宋" w:hAnsi="仿宋" w:eastAsia="仿宋" w:cs="仿宋"/>
          <w:sz w:val="31"/>
          <w:szCs w:val="31"/>
        </w:rPr>
      </w:pPr>
      <w:r>
        <w:rPr>
          <w:rFonts w:ascii="仿宋" w:hAnsi="仿宋" w:eastAsia="仿宋" w:cs="仿宋"/>
          <w:spacing w:val="8"/>
          <w:sz w:val="31"/>
          <w:szCs w:val="31"/>
        </w:rPr>
        <w:t>一</w:t>
      </w:r>
      <w:r>
        <w:rPr>
          <w:rFonts w:ascii="仿宋" w:hAnsi="仿宋" w:eastAsia="仿宋" w:cs="仿宋"/>
          <w:spacing w:val="5"/>
          <w:sz w:val="31"/>
          <w:szCs w:val="31"/>
        </w:rPr>
        <w:t>、部门职责</w:t>
      </w:r>
    </w:p>
    <w:p w14:paraId="2CE2C118">
      <w:pPr>
        <w:spacing w:before="250" w:line="222" w:lineRule="auto"/>
        <w:ind w:left="45"/>
        <w:rPr>
          <w:rFonts w:ascii="仿宋" w:hAnsi="仿宋" w:eastAsia="仿宋" w:cs="仿宋"/>
          <w:sz w:val="31"/>
          <w:szCs w:val="31"/>
        </w:rPr>
      </w:pPr>
      <w:r>
        <w:rPr>
          <w:rFonts w:ascii="仿宋" w:hAnsi="仿宋" w:eastAsia="仿宋" w:cs="仿宋"/>
          <w:spacing w:val="14"/>
          <w:sz w:val="31"/>
          <w:szCs w:val="31"/>
        </w:rPr>
        <w:t>二</w:t>
      </w:r>
      <w:r>
        <w:rPr>
          <w:rFonts w:ascii="仿宋" w:hAnsi="仿宋" w:eastAsia="仿宋" w:cs="仿宋"/>
          <w:spacing w:val="10"/>
          <w:sz w:val="31"/>
          <w:szCs w:val="31"/>
        </w:rPr>
        <w:t>、</w:t>
      </w:r>
      <w:r>
        <w:rPr>
          <w:rFonts w:ascii="仿宋" w:hAnsi="仿宋" w:eastAsia="仿宋" w:cs="仿宋"/>
          <w:spacing w:val="7"/>
          <w:sz w:val="31"/>
          <w:szCs w:val="31"/>
        </w:rPr>
        <w:t>机构设置及部门决算单位构成</w:t>
      </w:r>
    </w:p>
    <w:p w14:paraId="2317FE85">
      <w:pPr>
        <w:spacing w:before="250" w:line="223" w:lineRule="auto"/>
        <w:ind w:left="49"/>
        <w:rPr>
          <w:rFonts w:ascii="仿宋" w:hAnsi="仿宋" w:eastAsia="仿宋" w:cs="仿宋"/>
          <w:sz w:val="31"/>
          <w:szCs w:val="31"/>
        </w:rPr>
      </w:pPr>
      <w:r>
        <w:rPr>
          <w:rFonts w:ascii="仿宋" w:hAnsi="仿宋" w:eastAsia="仿宋" w:cs="仿宋"/>
          <w:spacing w:val="4"/>
          <w:sz w:val="31"/>
          <w:szCs w:val="31"/>
          <w14:textOutline w14:w="5791" w14:cap="flat" w14:cmpd="sng">
            <w14:solidFill>
              <w14:srgbClr w14:val="000000"/>
            </w14:solidFill>
            <w14:prstDash w14:val="solid"/>
            <w14:miter w14:val="0"/>
          </w14:textOutline>
        </w:rPr>
        <w:t>第二部分</w:t>
      </w:r>
      <w:r>
        <w:rPr>
          <w:rFonts w:ascii="仿宋" w:hAnsi="仿宋" w:eastAsia="仿宋" w:cs="仿宋"/>
          <w:spacing w:val="4"/>
          <w:sz w:val="31"/>
          <w:szCs w:val="31"/>
        </w:rPr>
        <w:t xml:space="preserve"> </w:t>
      </w:r>
      <w:r>
        <w:rPr>
          <w:rFonts w:ascii="宋体" w:hAnsi="宋体" w:eastAsia="宋体" w:cs="宋体"/>
          <w:spacing w:val="4"/>
          <w:sz w:val="31"/>
          <w:szCs w:val="31"/>
          <w14:textOutline w14:w="5791" w14:cap="flat" w14:cmpd="sng">
            <w14:solidFill>
              <w14:srgbClr w14:val="000000"/>
            </w14:solidFill>
            <w14:prstDash w14:val="solid"/>
            <w14:miter w14:val="0"/>
          </w14:textOutline>
        </w:rPr>
        <w:t>2</w:t>
      </w:r>
      <w:r>
        <w:rPr>
          <w:rFonts w:ascii="宋体" w:hAnsi="宋体" w:eastAsia="宋体" w:cs="宋体"/>
          <w:spacing w:val="2"/>
          <w:sz w:val="31"/>
          <w:szCs w:val="31"/>
          <w14:textOutline w14:w="5791" w14:cap="flat" w14:cmpd="sng">
            <w14:solidFill>
              <w14:srgbClr w14:val="000000"/>
            </w14:solidFill>
            <w14:prstDash w14:val="solid"/>
            <w14:miter w14:val="0"/>
          </w14:textOutline>
        </w:rPr>
        <w:t>023</w:t>
      </w:r>
      <w:r>
        <w:rPr>
          <w:rFonts w:ascii="宋体" w:hAnsi="宋体" w:eastAsia="宋体" w:cs="宋体"/>
          <w:spacing w:val="2"/>
          <w:sz w:val="31"/>
          <w:szCs w:val="31"/>
        </w:rPr>
        <w:t xml:space="preserve"> </w:t>
      </w:r>
      <w:r>
        <w:rPr>
          <w:rFonts w:ascii="仿宋" w:hAnsi="仿宋" w:eastAsia="仿宋" w:cs="仿宋"/>
          <w:spacing w:val="2"/>
          <w:sz w:val="31"/>
          <w:szCs w:val="31"/>
          <w14:textOutline w14:w="5791" w14:cap="flat" w14:cmpd="sng">
            <w14:solidFill>
              <w14:srgbClr w14:val="000000"/>
            </w14:solidFill>
            <w14:prstDash w14:val="solid"/>
            <w14:miter w14:val="0"/>
          </w14:textOutline>
        </w:rPr>
        <w:t>年度部门决算表</w:t>
      </w:r>
    </w:p>
    <w:p w14:paraId="0628B447">
      <w:pPr>
        <w:spacing w:before="250" w:line="223" w:lineRule="auto"/>
        <w:ind w:left="40"/>
        <w:rPr>
          <w:rFonts w:ascii="仿宋" w:hAnsi="仿宋" w:eastAsia="仿宋" w:cs="仿宋"/>
          <w:sz w:val="31"/>
          <w:szCs w:val="31"/>
        </w:rPr>
      </w:pPr>
      <w:r>
        <w:rPr>
          <w:rFonts w:ascii="仿宋" w:hAnsi="仿宋" w:eastAsia="仿宋" w:cs="仿宋"/>
          <w:spacing w:val="9"/>
          <w:sz w:val="31"/>
          <w:szCs w:val="31"/>
        </w:rPr>
        <w:t>一</w:t>
      </w:r>
      <w:r>
        <w:rPr>
          <w:rFonts w:ascii="仿宋" w:hAnsi="仿宋" w:eastAsia="仿宋" w:cs="仿宋"/>
          <w:spacing w:val="7"/>
          <w:sz w:val="31"/>
          <w:szCs w:val="31"/>
        </w:rPr>
        <w:t>、收入支出决算总表</w:t>
      </w:r>
    </w:p>
    <w:p w14:paraId="216FACE1">
      <w:pPr>
        <w:spacing w:before="250" w:line="223" w:lineRule="auto"/>
        <w:ind w:left="45"/>
        <w:rPr>
          <w:rFonts w:ascii="仿宋" w:hAnsi="仿宋" w:eastAsia="仿宋" w:cs="仿宋"/>
          <w:sz w:val="31"/>
          <w:szCs w:val="31"/>
        </w:rPr>
      </w:pPr>
      <w:r>
        <w:rPr>
          <w:rFonts w:ascii="仿宋" w:hAnsi="仿宋" w:eastAsia="仿宋" w:cs="仿宋"/>
          <w:spacing w:val="7"/>
          <w:sz w:val="31"/>
          <w:szCs w:val="31"/>
        </w:rPr>
        <w:t>二</w:t>
      </w:r>
      <w:r>
        <w:rPr>
          <w:rFonts w:ascii="仿宋" w:hAnsi="仿宋" w:eastAsia="仿宋" w:cs="仿宋"/>
          <w:spacing w:val="5"/>
          <w:sz w:val="31"/>
          <w:szCs w:val="31"/>
        </w:rPr>
        <w:t>、收入决算表</w:t>
      </w:r>
    </w:p>
    <w:p w14:paraId="7C11316F">
      <w:pPr>
        <w:spacing w:before="249" w:line="223" w:lineRule="auto"/>
        <w:ind w:left="44"/>
        <w:rPr>
          <w:rFonts w:ascii="仿宋" w:hAnsi="仿宋" w:eastAsia="仿宋" w:cs="仿宋"/>
          <w:sz w:val="31"/>
          <w:szCs w:val="31"/>
        </w:rPr>
      </w:pPr>
      <w:r>
        <w:rPr>
          <w:rFonts w:ascii="仿宋" w:hAnsi="仿宋" w:eastAsia="仿宋" w:cs="仿宋"/>
          <w:spacing w:val="8"/>
          <w:sz w:val="31"/>
          <w:szCs w:val="31"/>
        </w:rPr>
        <w:t>三</w:t>
      </w:r>
      <w:r>
        <w:rPr>
          <w:rFonts w:ascii="仿宋" w:hAnsi="仿宋" w:eastAsia="仿宋" w:cs="仿宋"/>
          <w:spacing w:val="5"/>
          <w:sz w:val="31"/>
          <w:szCs w:val="31"/>
        </w:rPr>
        <w:t>、支出决算表</w:t>
      </w:r>
    </w:p>
    <w:p w14:paraId="564D9E83">
      <w:pPr>
        <w:spacing w:before="250" w:line="223" w:lineRule="auto"/>
        <w:ind w:left="73"/>
        <w:rPr>
          <w:rFonts w:ascii="仿宋" w:hAnsi="仿宋" w:eastAsia="仿宋" w:cs="仿宋"/>
          <w:sz w:val="31"/>
          <w:szCs w:val="31"/>
        </w:rPr>
      </w:pPr>
      <w:r>
        <w:rPr>
          <w:rFonts w:ascii="仿宋" w:hAnsi="仿宋" w:eastAsia="仿宋" w:cs="仿宋"/>
          <w:spacing w:val="10"/>
          <w:sz w:val="31"/>
          <w:szCs w:val="31"/>
        </w:rPr>
        <w:t>四</w:t>
      </w:r>
      <w:r>
        <w:rPr>
          <w:rFonts w:ascii="仿宋" w:hAnsi="仿宋" w:eastAsia="仿宋" w:cs="仿宋"/>
          <w:spacing w:val="9"/>
          <w:sz w:val="31"/>
          <w:szCs w:val="31"/>
        </w:rPr>
        <w:t>、</w:t>
      </w:r>
      <w:r>
        <w:rPr>
          <w:rFonts w:ascii="仿宋" w:hAnsi="仿宋" w:eastAsia="仿宋" w:cs="仿宋"/>
          <w:spacing w:val="5"/>
          <w:sz w:val="31"/>
          <w:szCs w:val="31"/>
        </w:rPr>
        <w:t>财政拨款收入支出决算总表</w:t>
      </w:r>
    </w:p>
    <w:p w14:paraId="3B65BC33">
      <w:pPr>
        <w:spacing w:before="249" w:line="223" w:lineRule="auto"/>
        <w:ind w:left="40"/>
        <w:rPr>
          <w:rFonts w:ascii="仿宋" w:hAnsi="仿宋" w:eastAsia="仿宋" w:cs="仿宋"/>
          <w:sz w:val="31"/>
          <w:szCs w:val="31"/>
        </w:rPr>
      </w:pPr>
      <w:r>
        <w:rPr>
          <w:rFonts w:ascii="仿宋" w:hAnsi="仿宋" w:eastAsia="仿宋" w:cs="仿宋"/>
          <w:spacing w:val="13"/>
          <w:sz w:val="31"/>
          <w:szCs w:val="31"/>
        </w:rPr>
        <w:t>五</w:t>
      </w:r>
      <w:r>
        <w:rPr>
          <w:rFonts w:ascii="仿宋" w:hAnsi="仿宋" w:eastAsia="仿宋" w:cs="仿宋"/>
          <w:spacing w:val="8"/>
          <w:sz w:val="31"/>
          <w:szCs w:val="31"/>
        </w:rPr>
        <w:t>、一般公共预算财政拨款支出决算表</w:t>
      </w:r>
    </w:p>
    <w:p w14:paraId="5CBC4152">
      <w:pPr>
        <w:spacing w:before="250" w:line="223" w:lineRule="auto"/>
        <w:ind w:left="38"/>
        <w:rPr>
          <w:rFonts w:ascii="仿宋" w:hAnsi="仿宋" w:eastAsia="仿宋" w:cs="仿宋"/>
          <w:sz w:val="31"/>
          <w:szCs w:val="31"/>
        </w:rPr>
      </w:pPr>
      <w:r>
        <w:rPr>
          <w:rFonts w:ascii="仿宋" w:hAnsi="仿宋" w:eastAsia="仿宋" w:cs="仿宋"/>
          <w:spacing w:val="9"/>
          <w:sz w:val="31"/>
          <w:szCs w:val="31"/>
        </w:rPr>
        <w:t>六、一般公共预算财政拨款基本支出决算明细</w:t>
      </w:r>
      <w:r>
        <w:rPr>
          <w:rFonts w:ascii="仿宋" w:hAnsi="仿宋" w:eastAsia="仿宋" w:cs="仿宋"/>
          <w:spacing w:val="4"/>
          <w:sz w:val="31"/>
          <w:szCs w:val="31"/>
        </w:rPr>
        <w:t>表</w:t>
      </w:r>
    </w:p>
    <w:p w14:paraId="264B078E">
      <w:pPr>
        <w:spacing w:before="251" w:line="221" w:lineRule="auto"/>
        <w:ind w:left="41"/>
        <w:rPr>
          <w:rFonts w:ascii="仿宋" w:hAnsi="仿宋" w:eastAsia="仿宋" w:cs="仿宋"/>
          <w:sz w:val="31"/>
          <w:szCs w:val="31"/>
        </w:rPr>
      </w:pPr>
      <w:r>
        <w:rPr>
          <w:rFonts w:ascii="仿宋" w:hAnsi="仿宋" w:eastAsia="仿宋" w:cs="仿宋"/>
          <w:spacing w:val="16"/>
          <w:sz w:val="31"/>
          <w:szCs w:val="31"/>
        </w:rPr>
        <w:t>七</w:t>
      </w:r>
      <w:r>
        <w:rPr>
          <w:rFonts w:ascii="仿宋" w:hAnsi="仿宋" w:eastAsia="仿宋" w:cs="仿宋"/>
          <w:spacing w:val="10"/>
          <w:sz w:val="31"/>
          <w:szCs w:val="31"/>
        </w:rPr>
        <w:t>、</w:t>
      </w:r>
      <w:r>
        <w:rPr>
          <w:rFonts w:ascii="仿宋" w:hAnsi="仿宋" w:eastAsia="仿宋" w:cs="仿宋"/>
          <w:spacing w:val="8"/>
          <w:sz w:val="31"/>
          <w:szCs w:val="31"/>
        </w:rPr>
        <w:t>政府性基金预算财政拨款收入支出决算表</w:t>
      </w:r>
    </w:p>
    <w:p w14:paraId="6CEA57FA">
      <w:pPr>
        <w:spacing w:before="252" w:line="223" w:lineRule="auto"/>
        <w:ind w:left="34"/>
        <w:rPr>
          <w:rFonts w:ascii="仿宋" w:hAnsi="仿宋" w:eastAsia="仿宋" w:cs="仿宋"/>
          <w:sz w:val="31"/>
          <w:szCs w:val="31"/>
        </w:rPr>
      </w:pPr>
      <w:r>
        <w:rPr>
          <w:rFonts w:ascii="仿宋" w:hAnsi="仿宋" w:eastAsia="仿宋" w:cs="仿宋"/>
          <w:spacing w:val="1"/>
          <w:sz w:val="31"/>
          <w:szCs w:val="31"/>
        </w:rPr>
        <w:t>八、 国有资本经营预算财政拨</w:t>
      </w:r>
      <w:r>
        <w:rPr>
          <w:rFonts w:ascii="仿宋" w:hAnsi="仿宋" w:eastAsia="仿宋" w:cs="仿宋"/>
          <w:sz w:val="31"/>
          <w:szCs w:val="31"/>
        </w:rPr>
        <w:t>款支出决算表</w:t>
      </w:r>
    </w:p>
    <w:p w14:paraId="16F0DE4C">
      <w:pPr>
        <w:spacing w:before="249" w:line="223" w:lineRule="auto"/>
        <w:ind w:left="47"/>
        <w:rPr>
          <w:rFonts w:ascii="仿宋" w:hAnsi="仿宋" w:eastAsia="仿宋" w:cs="仿宋"/>
          <w:sz w:val="31"/>
          <w:szCs w:val="31"/>
        </w:rPr>
      </w:pPr>
      <w:r>
        <w:rPr>
          <w:rFonts w:ascii="仿宋" w:hAnsi="仿宋" w:eastAsia="仿宋" w:cs="仿宋"/>
          <w:spacing w:val="8"/>
          <w:sz w:val="31"/>
          <w:szCs w:val="31"/>
        </w:rPr>
        <w:t>九、财政拨款“三公”经费支出决算表</w:t>
      </w:r>
    </w:p>
    <w:p w14:paraId="3A3E374C">
      <w:pPr>
        <w:spacing w:before="250" w:line="223" w:lineRule="auto"/>
        <w:ind w:left="44"/>
        <w:rPr>
          <w:rFonts w:ascii="仿宋" w:hAnsi="仿宋" w:eastAsia="仿宋" w:cs="仿宋"/>
          <w:sz w:val="31"/>
          <w:szCs w:val="31"/>
        </w:rPr>
      </w:pPr>
      <w:r>
        <w:rPr>
          <w:rFonts w:ascii="仿宋" w:hAnsi="仿宋" w:eastAsia="仿宋" w:cs="仿宋"/>
          <w:spacing w:val="8"/>
          <w:sz w:val="31"/>
          <w:szCs w:val="31"/>
        </w:rPr>
        <w:t>十、部门预算项目支出绩效自评</w:t>
      </w:r>
      <w:r>
        <w:rPr>
          <w:rFonts w:ascii="仿宋" w:hAnsi="仿宋" w:eastAsia="仿宋" w:cs="仿宋"/>
          <w:spacing w:val="5"/>
          <w:sz w:val="31"/>
          <w:szCs w:val="31"/>
        </w:rPr>
        <w:t>表</w:t>
      </w:r>
    </w:p>
    <w:p w14:paraId="5468AB73">
      <w:pPr>
        <w:spacing w:before="249" w:line="223" w:lineRule="auto"/>
        <w:ind w:left="49"/>
        <w:rPr>
          <w:rFonts w:ascii="仿宋" w:hAnsi="仿宋" w:eastAsia="仿宋" w:cs="仿宋"/>
          <w:sz w:val="31"/>
          <w:szCs w:val="31"/>
        </w:rPr>
      </w:pPr>
      <w:r>
        <w:rPr>
          <w:rFonts w:ascii="仿宋" w:hAnsi="仿宋" w:eastAsia="仿宋" w:cs="仿宋"/>
          <w:spacing w:val="4"/>
          <w:sz w:val="31"/>
          <w:szCs w:val="31"/>
          <w14:textOutline w14:w="5791" w14:cap="flat" w14:cmpd="sng">
            <w14:solidFill>
              <w14:srgbClr w14:val="000000"/>
            </w14:solidFill>
            <w14:prstDash w14:val="solid"/>
            <w14:miter w14:val="0"/>
          </w14:textOutline>
        </w:rPr>
        <w:t>第三部分</w:t>
      </w:r>
      <w:r>
        <w:rPr>
          <w:rFonts w:ascii="仿宋" w:hAnsi="仿宋" w:eastAsia="仿宋" w:cs="仿宋"/>
          <w:spacing w:val="4"/>
          <w:sz w:val="31"/>
          <w:szCs w:val="31"/>
        </w:rPr>
        <w:t xml:space="preserve">  </w:t>
      </w:r>
      <w:r>
        <w:rPr>
          <w:rFonts w:ascii="宋体" w:hAnsi="宋体" w:eastAsia="宋体" w:cs="宋体"/>
          <w:spacing w:val="4"/>
          <w:sz w:val="31"/>
          <w:szCs w:val="31"/>
          <w14:textOutline w14:w="5791" w14:cap="flat" w14:cmpd="sng">
            <w14:solidFill>
              <w14:srgbClr w14:val="000000"/>
            </w14:solidFill>
            <w14:prstDash w14:val="solid"/>
            <w14:miter w14:val="0"/>
          </w14:textOutline>
        </w:rPr>
        <w:t>2023</w:t>
      </w:r>
      <w:r>
        <w:rPr>
          <w:rFonts w:ascii="宋体" w:hAnsi="宋体" w:eastAsia="宋体" w:cs="宋体"/>
          <w:spacing w:val="4"/>
          <w:sz w:val="31"/>
          <w:szCs w:val="31"/>
        </w:rPr>
        <w:t xml:space="preserve"> </w:t>
      </w:r>
      <w:r>
        <w:rPr>
          <w:rFonts w:ascii="仿宋" w:hAnsi="仿宋" w:eastAsia="仿宋" w:cs="仿宋"/>
          <w:spacing w:val="4"/>
          <w:sz w:val="31"/>
          <w:szCs w:val="31"/>
          <w14:textOutline w14:w="5791" w14:cap="flat" w14:cmpd="sng">
            <w14:solidFill>
              <w14:srgbClr w14:val="000000"/>
            </w14:solidFill>
            <w14:prstDash w14:val="solid"/>
            <w14:miter w14:val="0"/>
          </w14:textOutline>
        </w:rPr>
        <w:t>年度部门决算情况说</w:t>
      </w:r>
      <w:r>
        <w:rPr>
          <w:rFonts w:ascii="仿宋" w:hAnsi="仿宋" w:eastAsia="仿宋" w:cs="仿宋"/>
          <w:spacing w:val="3"/>
          <w:sz w:val="31"/>
          <w:szCs w:val="31"/>
          <w14:textOutline w14:w="5791" w14:cap="flat" w14:cmpd="sng">
            <w14:solidFill>
              <w14:srgbClr w14:val="000000"/>
            </w14:solidFill>
            <w14:prstDash w14:val="solid"/>
            <w14:miter w14:val="0"/>
          </w14:textOutline>
        </w:rPr>
        <w:t>明</w:t>
      </w:r>
    </w:p>
    <w:p w14:paraId="5E50B69E">
      <w:pPr>
        <w:spacing w:before="250" w:line="223" w:lineRule="auto"/>
        <w:ind w:left="40"/>
        <w:rPr>
          <w:rFonts w:ascii="仿宋" w:hAnsi="仿宋" w:eastAsia="仿宋" w:cs="仿宋"/>
          <w:sz w:val="31"/>
          <w:szCs w:val="31"/>
        </w:rPr>
      </w:pPr>
      <w:r>
        <w:rPr>
          <w:rFonts w:ascii="仿宋" w:hAnsi="仿宋" w:eastAsia="仿宋" w:cs="仿宋"/>
          <w:spacing w:val="8"/>
          <w:sz w:val="31"/>
          <w:szCs w:val="31"/>
        </w:rPr>
        <w:t>一、收入支出决算总体情况说</w:t>
      </w:r>
      <w:r>
        <w:rPr>
          <w:rFonts w:ascii="仿宋" w:hAnsi="仿宋" w:eastAsia="仿宋" w:cs="仿宋"/>
          <w:spacing w:val="7"/>
          <w:sz w:val="31"/>
          <w:szCs w:val="31"/>
        </w:rPr>
        <w:t>明</w:t>
      </w:r>
    </w:p>
    <w:p w14:paraId="21AD08A5">
      <w:pPr>
        <w:spacing w:before="250" w:line="223" w:lineRule="auto"/>
        <w:ind w:left="45"/>
        <w:rPr>
          <w:rFonts w:ascii="仿宋" w:hAnsi="仿宋" w:eastAsia="仿宋" w:cs="仿宋"/>
          <w:sz w:val="31"/>
          <w:szCs w:val="31"/>
        </w:rPr>
      </w:pPr>
      <w:r>
        <w:rPr>
          <w:rFonts w:ascii="仿宋" w:hAnsi="仿宋" w:eastAsia="仿宋" w:cs="仿宋"/>
          <w:spacing w:val="12"/>
          <w:sz w:val="31"/>
          <w:szCs w:val="31"/>
        </w:rPr>
        <w:t>二</w:t>
      </w:r>
      <w:r>
        <w:rPr>
          <w:rFonts w:ascii="仿宋" w:hAnsi="仿宋" w:eastAsia="仿宋" w:cs="仿宋"/>
          <w:spacing w:val="7"/>
          <w:sz w:val="31"/>
          <w:szCs w:val="31"/>
        </w:rPr>
        <w:t>、</w:t>
      </w:r>
      <w:r>
        <w:rPr>
          <w:rFonts w:ascii="仿宋" w:hAnsi="仿宋" w:eastAsia="仿宋" w:cs="仿宋"/>
          <w:spacing w:val="6"/>
          <w:sz w:val="31"/>
          <w:szCs w:val="31"/>
        </w:rPr>
        <w:t>收入决算情况说明</w:t>
      </w:r>
    </w:p>
    <w:p w14:paraId="70DD80F9">
      <w:pPr>
        <w:spacing w:before="250" w:line="223" w:lineRule="auto"/>
        <w:ind w:left="44"/>
        <w:rPr>
          <w:rFonts w:ascii="仿宋" w:hAnsi="仿宋" w:eastAsia="仿宋" w:cs="仿宋"/>
          <w:sz w:val="31"/>
          <w:szCs w:val="31"/>
        </w:rPr>
      </w:pPr>
      <w:r>
        <w:rPr>
          <w:rFonts w:ascii="仿宋" w:hAnsi="仿宋" w:eastAsia="仿宋" w:cs="仿宋"/>
          <w:spacing w:val="7"/>
          <w:sz w:val="31"/>
          <w:szCs w:val="31"/>
        </w:rPr>
        <w:t>三、支出决算情况说</w:t>
      </w:r>
      <w:r>
        <w:rPr>
          <w:rFonts w:ascii="仿宋" w:hAnsi="仿宋" w:eastAsia="仿宋" w:cs="仿宋"/>
          <w:spacing w:val="5"/>
          <w:sz w:val="31"/>
          <w:szCs w:val="31"/>
        </w:rPr>
        <w:t>明</w:t>
      </w:r>
    </w:p>
    <w:p w14:paraId="1B8ED059">
      <w:pPr>
        <w:spacing w:before="249" w:line="223" w:lineRule="auto"/>
        <w:ind w:left="73"/>
        <w:rPr>
          <w:rFonts w:ascii="仿宋" w:hAnsi="仿宋" w:eastAsia="仿宋" w:cs="仿宋"/>
          <w:sz w:val="31"/>
          <w:szCs w:val="31"/>
        </w:rPr>
      </w:pPr>
      <w:r>
        <w:rPr>
          <w:rFonts w:ascii="仿宋" w:hAnsi="仿宋" w:eastAsia="仿宋" w:cs="仿宋"/>
          <w:spacing w:val="12"/>
          <w:sz w:val="31"/>
          <w:szCs w:val="31"/>
        </w:rPr>
        <w:t>四</w:t>
      </w:r>
      <w:r>
        <w:rPr>
          <w:rFonts w:ascii="仿宋" w:hAnsi="仿宋" w:eastAsia="仿宋" w:cs="仿宋"/>
          <w:spacing w:val="10"/>
          <w:sz w:val="31"/>
          <w:szCs w:val="31"/>
        </w:rPr>
        <w:t>、</w:t>
      </w:r>
      <w:r>
        <w:rPr>
          <w:rFonts w:ascii="仿宋" w:hAnsi="仿宋" w:eastAsia="仿宋" w:cs="仿宋"/>
          <w:spacing w:val="6"/>
          <w:sz w:val="31"/>
          <w:szCs w:val="31"/>
        </w:rPr>
        <w:t>财政拨款收入支出决算总体情况说明</w:t>
      </w:r>
    </w:p>
    <w:p w14:paraId="6D375561">
      <w:pPr>
        <w:sectPr>
          <w:footerReference r:id="rId6" w:type="default"/>
          <w:pgSz w:w="11907" w:h="16839"/>
          <w:pgMar w:top="1431" w:right="1785" w:bottom="1153" w:left="1785" w:header="0" w:footer="965" w:gutter="0"/>
          <w:pgNumType w:fmt="decimal"/>
          <w:cols w:space="720" w:num="1"/>
        </w:sectPr>
      </w:pPr>
    </w:p>
    <w:p w14:paraId="47512CC6">
      <w:pPr>
        <w:spacing w:before="159" w:line="223" w:lineRule="auto"/>
        <w:ind w:left="40"/>
        <w:rPr>
          <w:rFonts w:ascii="仿宋" w:hAnsi="仿宋" w:eastAsia="仿宋" w:cs="仿宋"/>
          <w:sz w:val="31"/>
          <w:szCs w:val="31"/>
        </w:rPr>
      </w:pPr>
      <w:r>
        <w:rPr>
          <w:rFonts w:ascii="仿宋" w:hAnsi="仿宋" w:eastAsia="仿宋" w:cs="仿宋"/>
          <w:spacing w:val="16"/>
          <w:sz w:val="31"/>
          <w:szCs w:val="31"/>
        </w:rPr>
        <w:t>五</w:t>
      </w:r>
      <w:r>
        <w:rPr>
          <w:rFonts w:ascii="仿宋" w:hAnsi="仿宋" w:eastAsia="仿宋" w:cs="仿宋"/>
          <w:spacing w:val="11"/>
          <w:sz w:val="31"/>
          <w:szCs w:val="31"/>
        </w:rPr>
        <w:t>、</w:t>
      </w:r>
      <w:r>
        <w:rPr>
          <w:rFonts w:ascii="仿宋" w:hAnsi="仿宋" w:eastAsia="仿宋" w:cs="仿宋"/>
          <w:spacing w:val="8"/>
          <w:sz w:val="31"/>
          <w:szCs w:val="31"/>
        </w:rPr>
        <w:t>一般公共预算财政拨款支出决算情况说明</w:t>
      </w:r>
    </w:p>
    <w:p w14:paraId="12121A2E">
      <w:pPr>
        <w:spacing w:before="249" w:line="223" w:lineRule="auto"/>
        <w:ind w:left="38"/>
        <w:rPr>
          <w:rFonts w:ascii="仿宋" w:hAnsi="仿宋" w:eastAsia="仿宋" w:cs="仿宋"/>
          <w:sz w:val="31"/>
          <w:szCs w:val="31"/>
        </w:rPr>
      </w:pPr>
      <w:r>
        <w:rPr>
          <w:rFonts w:ascii="仿宋" w:hAnsi="仿宋" w:eastAsia="仿宋" w:cs="仿宋"/>
          <w:spacing w:val="16"/>
          <w:sz w:val="31"/>
          <w:szCs w:val="31"/>
        </w:rPr>
        <w:t>六、</w:t>
      </w:r>
      <w:r>
        <w:rPr>
          <w:rFonts w:ascii="仿宋" w:hAnsi="仿宋" w:eastAsia="仿宋" w:cs="仿宋"/>
          <w:spacing w:val="8"/>
          <w:sz w:val="31"/>
          <w:szCs w:val="31"/>
        </w:rPr>
        <w:t>一般公共预算财政拨款基本支出决算情况说明</w:t>
      </w:r>
    </w:p>
    <w:p w14:paraId="041A093F">
      <w:pPr>
        <w:spacing w:before="250" w:line="221" w:lineRule="auto"/>
        <w:ind w:left="41"/>
        <w:rPr>
          <w:rFonts w:ascii="仿宋" w:hAnsi="仿宋" w:eastAsia="仿宋" w:cs="仿宋"/>
          <w:sz w:val="31"/>
          <w:szCs w:val="31"/>
        </w:rPr>
      </w:pPr>
      <w:r>
        <w:rPr>
          <w:rFonts w:ascii="仿宋" w:hAnsi="仿宋" w:eastAsia="仿宋" w:cs="仿宋"/>
          <w:spacing w:val="2"/>
          <w:sz w:val="31"/>
          <w:szCs w:val="31"/>
        </w:rPr>
        <w:t>七、 政府性基金预算财政拨款收入支出决算情况</w:t>
      </w:r>
      <w:r>
        <w:rPr>
          <w:rFonts w:ascii="仿宋" w:hAnsi="仿宋" w:eastAsia="仿宋" w:cs="仿宋"/>
          <w:sz w:val="31"/>
          <w:szCs w:val="31"/>
        </w:rPr>
        <w:t>说明</w:t>
      </w:r>
    </w:p>
    <w:p w14:paraId="6BA77132">
      <w:pPr>
        <w:spacing w:before="251" w:line="223" w:lineRule="auto"/>
        <w:ind w:left="34"/>
        <w:rPr>
          <w:rFonts w:ascii="仿宋" w:hAnsi="仿宋" w:eastAsia="仿宋" w:cs="仿宋"/>
          <w:sz w:val="31"/>
          <w:szCs w:val="31"/>
        </w:rPr>
      </w:pPr>
      <w:r>
        <w:rPr>
          <w:rFonts w:ascii="仿宋" w:hAnsi="仿宋" w:eastAsia="仿宋" w:cs="仿宋"/>
          <w:spacing w:val="2"/>
          <w:sz w:val="31"/>
          <w:szCs w:val="31"/>
        </w:rPr>
        <w:t>八、 国有资本经营预算财政拨款支出决算情况</w:t>
      </w:r>
      <w:r>
        <w:rPr>
          <w:rFonts w:ascii="仿宋" w:hAnsi="仿宋" w:eastAsia="仿宋" w:cs="仿宋"/>
          <w:sz w:val="31"/>
          <w:szCs w:val="31"/>
        </w:rPr>
        <w:t>说明</w:t>
      </w:r>
    </w:p>
    <w:p w14:paraId="2BE5403C">
      <w:pPr>
        <w:spacing w:before="250" w:line="223" w:lineRule="auto"/>
        <w:ind w:left="47"/>
        <w:rPr>
          <w:rFonts w:ascii="仿宋" w:hAnsi="仿宋" w:eastAsia="仿宋" w:cs="仿宋"/>
          <w:sz w:val="31"/>
          <w:szCs w:val="31"/>
        </w:rPr>
      </w:pPr>
      <w:r>
        <w:rPr>
          <w:rFonts w:ascii="仿宋" w:hAnsi="仿宋" w:eastAsia="仿宋" w:cs="仿宋"/>
          <w:spacing w:val="1"/>
          <w:sz w:val="31"/>
          <w:szCs w:val="31"/>
        </w:rPr>
        <w:t>九、 财政拨款“三</w:t>
      </w:r>
      <w:r>
        <w:rPr>
          <w:rFonts w:ascii="仿宋" w:hAnsi="仿宋" w:eastAsia="仿宋" w:cs="仿宋"/>
          <w:sz w:val="31"/>
          <w:szCs w:val="31"/>
        </w:rPr>
        <w:t>公”经费支出决算情况说明</w:t>
      </w:r>
    </w:p>
    <w:p w14:paraId="3DEE29AA">
      <w:pPr>
        <w:spacing w:before="249" w:line="224" w:lineRule="auto"/>
        <w:ind w:left="44"/>
        <w:rPr>
          <w:rFonts w:ascii="仿宋" w:hAnsi="仿宋" w:eastAsia="仿宋" w:cs="仿宋"/>
          <w:sz w:val="31"/>
          <w:szCs w:val="31"/>
        </w:rPr>
      </w:pPr>
      <w:r>
        <w:rPr>
          <w:rFonts w:ascii="仿宋" w:hAnsi="仿宋" w:eastAsia="仿宋" w:cs="仿宋"/>
          <w:spacing w:val="7"/>
          <w:sz w:val="31"/>
          <w:szCs w:val="31"/>
        </w:rPr>
        <w:t>十、绩效评价情况说</w:t>
      </w:r>
      <w:r>
        <w:rPr>
          <w:rFonts w:ascii="仿宋" w:hAnsi="仿宋" w:eastAsia="仿宋" w:cs="仿宋"/>
          <w:spacing w:val="6"/>
          <w:sz w:val="31"/>
          <w:szCs w:val="31"/>
        </w:rPr>
        <w:t>明</w:t>
      </w:r>
    </w:p>
    <w:p w14:paraId="7FFE7B2A">
      <w:pPr>
        <w:spacing w:before="247" w:line="224" w:lineRule="auto"/>
        <w:ind w:left="44"/>
        <w:rPr>
          <w:rFonts w:ascii="仿宋" w:hAnsi="仿宋" w:eastAsia="仿宋" w:cs="仿宋"/>
          <w:sz w:val="31"/>
          <w:szCs w:val="31"/>
        </w:rPr>
      </w:pPr>
      <w:r>
        <w:rPr>
          <w:rFonts w:ascii="仿宋" w:hAnsi="仿宋" w:eastAsia="仿宋" w:cs="仿宋"/>
          <w:spacing w:val="14"/>
          <w:sz w:val="31"/>
          <w:szCs w:val="31"/>
        </w:rPr>
        <w:t>十</w:t>
      </w:r>
      <w:r>
        <w:rPr>
          <w:rFonts w:ascii="仿宋" w:hAnsi="仿宋" w:eastAsia="仿宋" w:cs="仿宋"/>
          <w:spacing w:val="7"/>
          <w:sz w:val="31"/>
          <w:szCs w:val="31"/>
        </w:rPr>
        <w:t>一、其他重要事项情况说明</w:t>
      </w:r>
    </w:p>
    <w:p w14:paraId="7F6F178E">
      <w:pPr>
        <w:spacing w:before="249" w:line="224" w:lineRule="auto"/>
        <w:ind w:left="49"/>
        <w:rPr>
          <w:rFonts w:ascii="仿宋" w:hAnsi="仿宋" w:eastAsia="仿宋" w:cs="仿宋"/>
          <w:sz w:val="31"/>
          <w:szCs w:val="31"/>
        </w:rPr>
      </w:pPr>
      <w:r>
        <w:rPr>
          <w:rFonts w:ascii="仿宋" w:hAnsi="仿宋" w:eastAsia="仿宋" w:cs="仿宋"/>
          <w:spacing w:val="10"/>
          <w:sz w:val="31"/>
          <w:szCs w:val="31"/>
          <w14:textOutline w14:w="5791" w14:cap="flat" w14:cmpd="sng">
            <w14:solidFill>
              <w14:srgbClr w14:val="000000"/>
            </w14:solidFill>
            <w14:prstDash w14:val="solid"/>
            <w14:miter w14:val="0"/>
          </w14:textOutline>
        </w:rPr>
        <w:t>第</w:t>
      </w:r>
      <w:r>
        <w:rPr>
          <w:rFonts w:ascii="仿宋" w:hAnsi="仿宋" w:eastAsia="仿宋" w:cs="仿宋"/>
          <w:spacing w:val="6"/>
          <w:sz w:val="31"/>
          <w:szCs w:val="31"/>
          <w14:textOutline w14:w="5791" w14:cap="flat" w14:cmpd="sng">
            <w14:solidFill>
              <w14:srgbClr w14:val="000000"/>
            </w14:solidFill>
            <w14:prstDash w14:val="solid"/>
            <w14:miter w14:val="0"/>
          </w14:textOutline>
        </w:rPr>
        <w:t>四部分</w:t>
      </w:r>
      <w:r>
        <w:rPr>
          <w:rFonts w:ascii="仿宋" w:hAnsi="仿宋" w:eastAsia="仿宋" w:cs="仿宋"/>
          <w:spacing w:val="6"/>
          <w:sz w:val="31"/>
          <w:szCs w:val="31"/>
        </w:rPr>
        <w:t xml:space="preserve">  </w:t>
      </w:r>
      <w:r>
        <w:rPr>
          <w:rFonts w:ascii="仿宋" w:hAnsi="仿宋" w:eastAsia="仿宋" w:cs="仿宋"/>
          <w:spacing w:val="6"/>
          <w:sz w:val="31"/>
          <w:szCs w:val="31"/>
          <w14:textOutline w14:w="5791" w14:cap="flat" w14:cmpd="sng">
            <w14:solidFill>
              <w14:srgbClr w14:val="000000"/>
            </w14:solidFill>
            <w14:prstDash w14:val="solid"/>
            <w14:miter w14:val="0"/>
          </w14:textOutline>
        </w:rPr>
        <w:t>名词解释</w:t>
      </w:r>
    </w:p>
    <w:p w14:paraId="03C71C29">
      <w:pPr>
        <w:sectPr>
          <w:footerReference r:id="rId7" w:type="default"/>
          <w:pgSz w:w="11907" w:h="16839"/>
          <w:pgMar w:top="1431" w:right="1785" w:bottom="1153" w:left="1785" w:header="0" w:footer="965" w:gutter="0"/>
          <w:pgNumType w:fmt="decimal"/>
          <w:cols w:space="720" w:num="1"/>
        </w:sectPr>
      </w:pPr>
    </w:p>
    <w:p w14:paraId="366139AA">
      <w:pPr>
        <w:spacing w:line="281" w:lineRule="auto"/>
        <w:rPr>
          <w:rFonts w:ascii="Arial"/>
          <w:sz w:val="21"/>
        </w:rPr>
      </w:pPr>
    </w:p>
    <w:p w14:paraId="2A189A0B">
      <w:pPr>
        <w:spacing w:line="281" w:lineRule="auto"/>
        <w:rPr>
          <w:rFonts w:ascii="Arial"/>
          <w:sz w:val="21"/>
        </w:rPr>
      </w:pPr>
    </w:p>
    <w:p w14:paraId="5E85B1A3">
      <w:pPr>
        <w:spacing w:line="281" w:lineRule="auto"/>
        <w:rPr>
          <w:rFonts w:ascii="Arial"/>
          <w:sz w:val="21"/>
        </w:rPr>
      </w:pPr>
    </w:p>
    <w:p w14:paraId="154C71B3">
      <w:pPr>
        <w:jc w:val="center"/>
        <w:rPr>
          <w:rFonts w:hint="eastAsia" w:ascii="Arial" w:hAnsi="Arial" w:eastAsia="方正小标宋简体" w:cs="Arial"/>
          <w:sz w:val="44"/>
          <w:szCs w:val="44"/>
        </w:rPr>
      </w:pPr>
      <w:r>
        <w:rPr>
          <w:rFonts w:hint="eastAsia" w:ascii="Arial" w:hAnsi="Arial" w:eastAsia="方正小标宋简体" w:cs="Arial"/>
          <w:sz w:val="44"/>
          <w:szCs w:val="44"/>
        </w:rPr>
        <w:t>第一部分 部门概况</w:t>
      </w:r>
    </w:p>
    <w:p w14:paraId="238A4BD9">
      <w:pPr>
        <w:spacing w:line="295" w:lineRule="auto"/>
        <w:rPr>
          <w:rFonts w:ascii="Arial"/>
          <w:sz w:val="21"/>
        </w:rPr>
      </w:pPr>
    </w:p>
    <w:p w14:paraId="1B0DF5A2">
      <w:pPr>
        <w:spacing w:line="295" w:lineRule="auto"/>
        <w:rPr>
          <w:rFonts w:ascii="Arial"/>
          <w:sz w:val="21"/>
        </w:rPr>
      </w:pPr>
    </w:p>
    <w:p w14:paraId="0E277FC6">
      <w:pPr>
        <w:spacing w:line="296" w:lineRule="auto"/>
        <w:rPr>
          <w:rFonts w:ascii="Arial"/>
          <w:sz w:val="21"/>
        </w:rPr>
      </w:pPr>
    </w:p>
    <w:p w14:paraId="43B09308">
      <w:pPr>
        <w:spacing w:before="100" w:line="224" w:lineRule="auto"/>
        <w:ind w:left="751"/>
        <w:rPr>
          <w:rFonts w:ascii="黑体" w:hAnsi="黑体" w:eastAsia="黑体" w:cs="黑体"/>
          <w:sz w:val="31"/>
          <w:szCs w:val="31"/>
        </w:rPr>
      </w:pPr>
      <w:r>
        <w:rPr>
          <w:rFonts w:ascii="黑体" w:hAnsi="黑体" w:eastAsia="黑体" w:cs="黑体"/>
          <w:spacing w:val="12"/>
          <w:sz w:val="31"/>
          <w:szCs w:val="31"/>
        </w:rPr>
        <w:t>一</w:t>
      </w:r>
      <w:r>
        <w:rPr>
          <w:rFonts w:ascii="黑体" w:hAnsi="黑体" w:eastAsia="黑体" w:cs="黑体"/>
          <w:spacing w:val="7"/>
          <w:sz w:val="31"/>
          <w:szCs w:val="31"/>
        </w:rPr>
        <w:t>、部门主要职责</w:t>
      </w:r>
    </w:p>
    <w:p w14:paraId="1F606F9D">
      <w:pPr>
        <w:keepNext w:val="0"/>
        <w:keepLines w:val="0"/>
        <w:pageBreakBefore w:val="0"/>
        <w:widowControl w:val="0"/>
        <w:kinsoku/>
        <w:wordWrap/>
        <w:overflowPunct/>
        <w:topLinePunct w:val="0"/>
        <w:autoSpaceDE/>
        <w:autoSpaceDN/>
        <w:bidi w:val="0"/>
        <w:adjustRightInd/>
        <w:snapToGrid/>
        <w:spacing w:line="360" w:lineRule="auto"/>
        <w:ind w:left="0" w:leftChars="0" w:firstLine="419" w:firstLineChars="131"/>
        <w:jc w:val="both"/>
        <w:textAlignment w:val="auto"/>
        <w:rPr>
          <w:rFonts w:hint="eastAsia" w:ascii="仿宋" w:hAnsi="仿宋" w:eastAsia="仿宋" w:cs="Times New Roman"/>
          <w:snapToGrid/>
          <w:kern w:val="2"/>
          <w:sz w:val="32"/>
          <w:szCs w:val="20"/>
          <w:highlight w:val="none"/>
          <w:lang w:val="en-US" w:eastAsia="zh-CN" w:bidi="ar-SA"/>
        </w:rPr>
      </w:pPr>
      <w:r>
        <w:rPr>
          <w:rFonts w:hint="eastAsia" w:ascii="仿宋" w:hAnsi="仿宋" w:eastAsia="仿宋" w:cs="Times New Roman"/>
          <w:snapToGrid/>
          <w:kern w:val="2"/>
          <w:sz w:val="32"/>
          <w:szCs w:val="20"/>
          <w:highlight w:val="none"/>
          <w:lang w:val="en-US" w:eastAsia="zh-CN" w:bidi="ar-SA"/>
        </w:rPr>
        <w:t>（1）负责贯彻落实党中央、省、市委有关组织工作方面的路线、方针、政策。</w:t>
      </w:r>
    </w:p>
    <w:p w14:paraId="2F5B2B02">
      <w:pPr>
        <w:keepNext w:val="0"/>
        <w:keepLines w:val="0"/>
        <w:pageBreakBefore w:val="0"/>
        <w:widowControl w:val="0"/>
        <w:kinsoku/>
        <w:wordWrap/>
        <w:overflowPunct/>
        <w:topLinePunct w:val="0"/>
        <w:autoSpaceDE/>
        <w:autoSpaceDN/>
        <w:bidi w:val="0"/>
        <w:adjustRightInd/>
        <w:snapToGrid/>
        <w:spacing w:line="360" w:lineRule="auto"/>
        <w:ind w:left="0" w:leftChars="0" w:firstLine="419" w:firstLineChars="131"/>
        <w:jc w:val="both"/>
        <w:textAlignment w:val="auto"/>
        <w:rPr>
          <w:rFonts w:hint="eastAsia" w:ascii="仿宋" w:hAnsi="仿宋" w:eastAsia="仿宋" w:cs="Times New Roman"/>
          <w:snapToGrid/>
          <w:kern w:val="2"/>
          <w:sz w:val="32"/>
          <w:szCs w:val="20"/>
          <w:highlight w:val="none"/>
          <w:lang w:val="en-US" w:eastAsia="zh-CN" w:bidi="ar-SA"/>
        </w:rPr>
      </w:pPr>
      <w:r>
        <w:rPr>
          <w:rFonts w:hint="eastAsia" w:ascii="仿宋" w:hAnsi="仿宋" w:eastAsia="仿宋" w:cs="Times New Roman"/>
          <w:snapToGrid/>
          <w:kern w:val="2"/>
          <w:sz w:val="32"/>
          <w:szCs w:val="20"/>
          <w:highlight w:val="none"/>
          <w:lang w:val="en-US" w:eastAsia="zh-CN" w:bidi="ar-SA"/>
        </w:rPr>
        <w:t>（2）负责全区党的基层组织建设、党员教育管理、党员发展、党费管理、党的工作制度、党内生活制度等方面指导、组织、管理，提出意见建议等。</w:t>
      </w:r>
    </w:p>
    <w:p w14:paraId="669533F4">
      <w:pPr>
        <w:keepNext w:val="0"/>
        <w:keepLines w:val="0"/>
        <w:pageBreakBefore w:val="0"/>
        <w:widowControl w:val="0"/>
        <w:kinsoku/>
        <w:wordWrap/>
        <w:overflowPunct/>
        <w:topLinePunct w:val="0"/>
        <w:autoSpaceDE/>
        <w:autoSpaceDN/>
        <w:bidi w:val="0"/>
        <w:adjustRightInd/>
        <w:snapToGrid/>
        <w:spacing w:line="360" w:lineRule="auto"/>
        <w:ind w:left="0" w:leftChars="0" w:firstLine="419" w:firstLineChars="131"/>
        <w:jc w:val="both"/>
        <w:textAlignment w:val="auto"/>
        <w:rPr>
          <w:rFonts w:hint="eastAsia" w:ascii="仿宋" w:hAnsi="仿宋" w:eastAsia="仿宋" w:cs="Times New Roman"/>
          <w:snapToGrid/>
          <w:kern w:val="2"/>
          <w:sz w:val="32"/>
          <w:szCs w:val="20"/>
          <w:highlight w:val="none"/>
          <w:lang w:val="en-US" w:eastAsia="zh-CN" w:bidi="ar-SA"/>
        </w:rPr>
      </w:pPr>
      <w:r>
        <w:rPr>
          <w:rFonts w:hint="eastAsia" w:ascii="仿宋" w:hAnsi="仿宋" w:eastAsia="仿宋" w:cs="Times New Roman"/>
          <w:snapToGrid/>
          <w:kern w:val="2"/>
          <w:sz w:val="32"/>
          <w:szCs w:val="20"/>
          <w:highlight w:val="none"/>
          <w:lang w:val="en-US" w:eastAsia="zh-CN" w:bidi="ar-SA"/>
        </w:rPr>
        <w:t>（3）负责全区领导班子和干部队伍建设的管理，对区管领导班子和领导干部换届、调整、任免等提出建议；对全区干部教育培训工作的规划、指导、协调、检查，分级分类开展干部教育培训；对区管领导班子和领导干部、党政领导干部选拔任用工作及有关法规贯彻执行情况进行监督。</w:t>
      </w:r>
    </w:p>
    <w:p w14:paraId="37B11525">
      <w:pPr>
        <w:keepNext w:val="0"/>
        <w:keepLines w:val="0"/>
        <w:pageBreakBefore w:val="0"/>
        <w:widowControl w:val="0"/>
        <w:kinsoku/>
        <w:wordWrap/>
        <w:overflowPunct/>
        <w:topLinePunct w:val="0"/>
        <w:autoSpaceDE/>
        <w:autoSpaceDN/>
        <w:bidi w:val="0"/>
        <w:adjustRightInd/>
        <w:snapToGrid/>
        <w:spacing w:line="360" w:lineRule="auto"/>
        <w:ind w:left="0" w:leftChars="0" w:firstLine="419" w:firstLineChars="131"/>
        <w:jc w:val="both"/>
        <w:textAlignment w:val="auto"/>
        <w:rPr>
          <w:rFonts w:hint="eastAsia" w:ascii="仿宋" w:hAnsi="仿宋" w:eastAsia="仿宋" w:cs="Times New Roman"/>
          <w:snapToGrid/>
          <w:kern w:val="2"/>
          <w:sz w:val="32"/>
          <w:szCs w:val="20"/>
          <w:highlight w:val="none"/>
          <w:lang w:val="en-US" w:eastAsia="zh-CN" w:bidi="ar-SA"/>
        </w:rPr>
      </w:pPr>
      <w:r>
        <w:rPr>
          <w:rFonts w:hint="eastAsia" w:ascii="仿宋" w:hAnsi="仿宋" w:eastAsia="仿宋" w:cs="Times New Roman"/>
          <w:snapToGrid/>
          <w:kern w:val="2"/>
          <w:sz w:val="32"/>
          <w:szCs w:val="20"/>
          <w:highlight w:val="none"/>
          <w:lang w:val="en-US" w:eastAsia="zh-CN" w:bidi="ar-SA"/>
        </w:rPr>
        <w:t>（4）负责全区人才工作和人才队伍建设管理、政策制度研究制定，指导协调专项人才工作以及人才引进工作，开展联系专家工作。</w:t>
      </w:r>
    </w:p>
    <w:p w14:paraId="460EB660">
      <w:pPr>
        <w:keepNext w:val="0"/>
        <w:keepLines w:val="0"/>
        <w:pageBreakBefore w:val="0"/>
        <w:widowControl w:val="0"/>
        <w:kinsoku/>
        <w:wordWrap/>
        <w:overflowPunct/>
        <w:topLinePunct w:val="0"/>
        <w:autoSpaceDE/>
        <w:autoSpaceDN/>
        <w:bidi w:val="0"/>
        <w:adjustRightInd/>
        <w:snapToGrid/>
        <w:spacing w:line="360" w:lineRule="auto"/>
        <w:ind w:left="0" w:leftChars="0" w:firstLine="419" w:firstLineChars="131"/>
        <w:jc w:val="both"/>
        <w:textAlignment w:val="auto"/>
        <w:rPr>
          <w:rFonts w:hint="eastAsia" w:ascii="仿宋" w:hAnsi="仿宋" w:eastAsia="仿宋" w:cs="Times New Roman"/>
          <w:snapToGrid/>
          <w:kern w:val="2"/>
          <w:sz w:val="32"/>
          <w:szCs w:val="20"/>
          <w:highlight w:val="none"/>
          <w:lang w:val="en-US" w:eastAsia="zh-CN" w:bidi="ar-SA"/>
        </w:rPr>
      </w:pPr>
      <w:r>
        <w:rPr>
          <w:rFonts w:hint="eastAsia" w:ascii="仿宋" w:hAnsi="仿宋" w:eastAsia="仿宋" w:cs="Times New Roman"/>
          <w:snapToGrid/>
          <w:kern w:val="2"/>
          <w:sz w:val="32"/>
          <w:szCs w:val="20"/>
          <w:highlight w:val="none"/>
          <w:lang w:val="en-US" w:eastAsia="zh-CN" w:bidi="ar-SA"/>
        </w:rPr>
        <w:t>（5）统一管理公务</w:t>
      </w:r>
      <w:bookmarkStart w:id="0" w:name="_GoBack"/>
      <w:bookmarkEnd w:id="0"/>
      <w:r>
        <w:rPr>
          <w:rFonts w:hint="eastAsia" w:ascii="仿宋" w:hAnsi="仿宋" w:eastAsia="仿宋" w:cs="Times New Roman"/>
          <w:snapToGrid/>
          <w:kern w:val="2"/>
          <w:sz w:val="32"/>
          <w:szCs w:val="20"/>
          <w:highlight w:val="none"/>
          <w:lang w:val="en-US" w:eastAsia="zh-CN" w:bidi="ar-SA"/>
        </w:rPr>
        <w:t>员录用调配、考核奖惩、培训和工资福利等事务，研究制定公务员管理办法，并组织实施，指导公务员队伍建设和绩效管理。</w:t>
      </w:r>
    </w:p>
    <w:p w14:paraId="7E43B5BA">
      <w:pPr>
        <w:keepNext w:val="0"/>
        <w:keepLines w:val="0"/>
        <w:pageBreakBefore w:val="0"/>
        <w:widowControl w:val="0"/>
        <w:kinsoku/>
        <w:wordWrap/>
        <w:overflowPunct/>
        <w:topLinePunct w:val="0"/>
        <w:autoSpaceDE/>
        <w:autoSpaceDN/>
        <w:bidi w:val="0"/>
        <w:adjustRightInd/>
        <w:snapToGrid/>
        <w:spacing w:line="360" w:lineRule="auto"/>
        <w:ind w:left="0" w:leftChars="0" w:firstLine="419" w:firstLineChars="131"/>
        <w:jc w:val="both"/>
        <w:textAlignment w:val="auto"/>
        <w:rPr>
          <w:rFonts w:hint="eastAsia" w:ascii="仿宋" w:hAnsi="仿宋" w:eastAsia="仿宋" w:cs="Times New Roman"/>
          <w:snapToGrid/>
          <w:kern w:val="2"/>
          <w:sz w:val="32"/>
          <w:szCs w:val="20"/>
          <w:highlight w:val="none"/>
          <w:lang w:val="en-US" w:eastAsia="zh-CN" w:bidi="ar-SA"/>
        </w:rPr>
      </w:pPr>
      <w:r>
        <w:rPr>
          <w:rFonts w:hint="eastAsia" w:ascii="仿宋" w:hAnsi="仿宋" w:eastAsia="仿宋" w:cs="Times New Roman"/>
          <w:snapToGrid/>
          <w:kern w:val="2"/>
          <w:sz w:val="32"/>
          <w:szCs w:val="20"/>
          <w:highlight w:val="none"/>
          <w:lang w:val="en-US" w:eastAsia="zh-CN" w:bidi="ar-SA"/>
        </w:rPr>
        <w:t>（6）负责抓好中央和省、市、区委各项决策部署在非公有制企业和社会组织的贯彻落实，统筹推进非公有制企业和社会组织党建工作开展。</w:t>
      </w:r>
    </w:p>
    <w:p w14:paraId="20CAB10D">
      <w:pPr>
        <w:keepNext w:val="0"/>
        <w:keepLines w:val="0"/>
        <w:pageBreakBefore w:val="0"/>
        <w:widowControl w:val="0"/>
        <w:kinsoku/>
        <w:wordWrap/>
        <w:overflowPunct/>
        <w:topLinePunct w:val="0"/>
        <w:autoSpaceDE/>
        <w:autoSpaceDN/>
        <w:bidi w:val="0"/>
        <w:adjustRightInd/>
        <w:snapToGrid/>
        <w:spacing w:line="360" w:lineRule="auto"/>
        <w:ind w:left="0" w:leftChars="0" w:firstLine="419" w:firstLineChars="131"/>
        <w:jc w:val="both"/>
        <w:textAlignment w:val="auto"/>
        <w:rPr>
          <w:rFonts w:hint="eastAsia" w:ascii="仿宋" w:hAnsi="仿宋" w:eastAsia="仿宋" w:cs="Times New Roman"/>
          <w:snapToGrid/>
          <w:kern w:val="2"/>
          <w:sz w:val="32"/>
          <w:szCs w:val="20"/>
          <w:highlight w:val="none"/>
          <w:lang w:val="en-US" w:eastAsia="zh-CN" w:bidi="ar-SA"/>
        </w:rPr>
      </w:pPr>
      <w:r>
        <w:rPr>
          <w:rFonts w:hint="eastAsia" w:ascii="仿宋" w:hAnsi="仿宋" w:eastAsia="仿宋" w:cs="Times New Roman"/>
          <w:snapToGrid/>
          <w:kern w:val="2"/>
          <w:sz w:val="32"/>
          <w:szCs w:val="20"/>
          <w:highlight w:val="none"/>
          <w:lang w:val="en-US" w:eastAsia="zh-CN" w:bidi="ar-SA"/>
        </w:rPr>
        <w:t>（7）负责代管南关区党史办公室、南关区干部档案室工作；统一管理中共南关区委机构编制委员会办公室和中共南关区委老干部局工作。</w:t>
      </w:r>
    </w:p>
    <w:p w14:paraId="2DDA5D95">
      <w:pPr>
        <w:keepNext w:val="0"/>
        <w:keepLines w:val="0"/>
        <w:pageBreakBefore w:val="0"/>
        <w:numPr>
          <w:ilvl w:val="0"/>
          <w:numId w:val="1"/>
        </w:numPr>
        <w:wordWrap/>
        <w:overflowPunct/>
        <w:topLinePunct w:val="0"/>
        <w:bidi w:val="0"/>
        <w:spacing w:line="360" w:lineRule="auto"/>
        <w:ind w:left="0" w:leftChars="0" w:firstLine="419" w:firstLineChars="131"/>
        <w:rPr>
          <w:rFonts w:hint="eastAsia" w:ascii="黑体" w:hAnsi="黑体" w:eastAsia="黑体"/>
          <w:sz w:val="32"/>
        </w:rPr>
      </w:pPr>
      <w:r>
        <w:rPr>
          <w:rFonts w:hint="eastAsia" w:ascii="黑体" w:hAnsi="黑体" w:eastAsia="黑体"/>
          <w:sz w:val="32"/>
        </w:rPr>
        <w:t>机构设置及部门决算单位构成</w:t>
      </w:r>
    </w:p>
    <w:p w14:paraId="20E4D79D">
      <w:pPr>
        <w:keepNext w:val="0"/>
        <w:keepLines w:val="0"/>
        <w:pageBreakBefore w:val="0"/>
        <w:widowControl w:val="0"/>
        <w:kinsoku/>
        <w:wordWrap/>
        <w:overflowPunct/>
        <w:topLinePunct w:val="0"/>
        <w:autoSpaceDE/>
        <w:autoSpaceDN/>
        <w:bidi w:val="0"/>
        <w:adjustRightInd/>
        <w:snapToGrid/>
        <w:spacing w:line="360" w:lineRule="auto"/>
        <w:ind w:left="0" w:leftChars="0" w:firstLine="419" w:firstLineChars="131"/>
        <w:jc w:val="both"/>
        <w:textAlignment w:val="auto"/>
        <w:rPr>
          <w:rFonts w:hint="eastAsia" w:ascii="仿宋" w:hAnsi="仿宋" w:eastAsia="仿宋" w:cs="Times New Roman"/>
          <w:snapToGrid/>
          <w:kern w:val="2"/>
          <w:sz w:val="32"/>
          <w:szCs w:val="20"/>
          <w:highlight w:val="none"/>
          <w:lang w:val="en-US" w:eastAsia="zh-CN" w:bidi="ar-SA"/>
        </w:rPr>
      </w:pPr>
      <w:r>
        <w:rPr>
          <w:rFonts w:hint="eastAsia" w:ascii="仿宋" w:hAnsi="仿宋" w:eastAsia="仿宋" w:cs="Times New Roman"/>
          <w:snapToGrid/>
          <w:kern w:val="2"/>
          <w:sz w:val="32"/>
          <w:szCs w:val="20"/>
          <w:highlight w:val="none"/>
          <w:lang w:val="en-US" w:eastAsia="zh-CN" w:bidi="ar-SA"/>
        </w:rPr>
        <w:t>根据上述职责，中共长春市南关区委组织部内设10个机构，分别为办公室、干部科、组织科、干部监督室、组织员办公室、人才办公室、干部教育科、非公党建办公室、公务员管理科、基层治理科。</w:t>
      </w:r>
    </w:p>
    <w:p w14:paraId="61029EE7">
      <w:pPr>
        <w:keepNext w:val="0"/>
        <w:keepLines w:val="0"/>
        <w:pageBreakBefore w:val="0"/>
        <w:widowControl w:val="0"/>
        <w:kinsoku/>
        <w:wordWrap/>
        <w:overflowPunct/>
        <w:topLinePunct w:val="0"/>
        <w:autoSpaceDE/>
        <w:autoSpaceDN/>
        <w:bidi w:val="0"/>
        <w:adjustRightInd/>
        <w:snapToGrid/>
        <w:spacing w:line="360" w:lineRule="auto"/>
        <w:ind w:left="0" w:leftChars="0" w:firstLine="419" w:firstLineChars="131"/>
        <w:jc w:val="both"/>
        <w:textAlignment w:val="auto"/>
        <w:rPr>
          <w:rFonts w:hint="eastAsia" w:ascii="仿宋" w:hAnsi="仿宋" w:eastAsia="仿宋" w:cs="Times New Roman"/>
          <w:snapToGrid/>
          <w:kern w:val="2"/>
          <w:sz w:val="32"/>
          <w:szCs w:val="20"/>
          <w:highlight w:val="none"/>
          <w:lang w:val="en-US" w:eastAsia="zh-CN" w:bidi="ar-SA"/>
        </w:rPr>
      </w:pPr>
      <w:r>
        <w:rPr>
          <w:rFonts w:hint="eastAsia" w:ascii="仿宋" w:hAnsi="仿宋" w:eastAsia="仿宋" w:cs="Times New Roman"/>
          <w:snapToGrid/>
          <w:kern w:val="2"/>
          <w:sz w:val="32"/>
          <w:szCs w:val="20"/>
          <w:highlight w:val="none"/>
          <w:lang w:val="en-US" w:eastAsia="zh-CN" w:bidi="ar-SA"/>
        </w:rPr>
        <w:t>纳入中共长春市南关区委组织部2023年度部门决算编制范围的单位包括：中共长春市南关区委组织部本级。</w:t>
      </w:r>
    </w:p>
    <w:p w14:paraId="73287FD8">
      <w:pPr>
        <w:spacing w:line="258" w:lineRule="auto"/>
        <w:rPr>
          <w:rFonts w:ascii="Arial"/>
          <w:sz w:val="21"/>
        </w:rPr>
      </w:pPr>
    </w:p>
    <w:p w14:paraId="2BF219EA">
      <w:pPr>
        <w:jc w:val="center"/>
        <w:rPr>
          <w:rFonts w:hint="eastAsia" w:ascii="Arial" w:hAnsi="Arial" w:eastAsia="方正小标宋简体" w:cs="Arial"/>
          <w:sz w:val="44"/>
          <w:szCs w:val="44"/>
        </w:rPr>
      </w:pPr>
    </w:p>
    <w:p w14:paraId="5C5DB313">
      <w:pPr>
        <w:jc w:val="center"/>
        <w:rPr>
          <w:rFonts w:hint="eastAsia" w:ascii="Arial" w:hAnsi="Arial" w:eastAsia="方正小标宋简体" w:cs="Arial"/>
          <w:sz w:val="44"/>
          <w:szCs w:val="44"/>
        </w:rPr>
      </w:pPr>
    </w:p>
    <w:p w14:paraId="2EE0AECC">
      <w:pPr>
        <w:jc w:val="center"/>
        <w:rPr>
          <w:rFonts w:hint="eastAsia" w:ascii="Arial" w:hAnsi="Arial" w:eastAsia="方正小标宋简体" w:cs="Arial"/>
          <w:sz w:val="44"/>
          <w:szCs w:val="44"/>
        </w:rPr>
      </w:pPr>
    </w:p>
    <w:p w14:paraId="35BE73EA">
      <w:pPr>
        <w:jc w:val="center"/>
        <w:rPr>
          <w:rFonts w:hint="eastAsia" w:ascii="Arial" w:hAnsi="Arial" w:eastAsia="方正小标宋简体" w:cs="Arial"/>
          <w:sz w:val="44"/>
          <w:szCs w:val="44"/>
        </w:rPr>
      </w:pPr>
    </w:p>
    <w:p w14:paraId="19213BFD">
      <w:pPr>
        <w:jc w:val="center"/>
        <w:rPr>
          <w:rFonts w:hint="eastAsia" w:ascii="Arial" w:hAnsi="Arial" w:eastAsia="方正小标宋简体" w:cs="Arial"/>
          <w:sz w:val="44"/>
          <w:szCs w:val="44"/>
        </w:rPr>
      </w:pPr>
    </w:p>
    <w:p w14:paraId="571CF7C8">
      <w:pPr>
        <w:jc w:val="center"/>
        <w:rPr>
          <w:rFonts w:hint="eastAsia" w:ascii="Arial" w:hAnsi="Arial" w:eastAsia="方正小标宋简体" w:cs="Arial"/>
          <w:sz w:val="44"/>
          <w:szCs w:val="44"/>
        </w:rPr>
      </w:pPr>
    </w:p>
    <w:p w14:paraId="1F0695CD">
      <w:pPr>
        <w:jc w:val="center"/>
        <w:rPr>
          <w:rFonts w:hint="eastAsia" w:ascii="Arial" w:hAnsi="Arial" w:eastAsia="方正小标宋简体" w:cs="Arial"/>
          <w:sz w:val="44"/>
          <w:szCs w:val="44"/>
        </w:rPr>
      </w:pPr>
    </w:p>
    <w:p w14:paraId="33BAB010">
      <w:pPr>
        <w:jc w:val="center"/>
        <w:rPr>
          <w:rFonts w:hint="eastAsia" w:ascii="Arial" w:hAnsi="Arial" w:eastAsia="方正小标宋简体" w:cs="Arial"/>
          <w:sz w:val="44"/>
          <w:szCs w:val="44"/>
        </w:rPr>
      </w:pPr>
    </w:p>
    <w:p w14:paraId="52107B71">
      <w:pPr>
        <w:jc w:val="center"/>
        <w:rPr>
          <w:rFonts w:hint="eastAsia" w:ascii="Arial" w:hAnsi="Arial" w:eastAsia="方正小标宋简体" w:cs="Arial"/>
          <w:sz w:val="44"/>
          <w:szCs w:val="44"/>
        </w:rPr>
      </w:pPr>
    </w:p>
    <w:p w14:paraId="173A61AC">
      <w:pPr>
        <w:jc w:val="center"/>
        <w:rPr>
          <w:rFonts w:hint="eastAsia" w:ascii="Arial" w:hAnsi="Arial" w:eastAsia="方正小标宋简体" w:cs="Arial"/>
          <w:sz w:val="44"/>
          <w:szCs w:val="44"/>
        </w:rPr>
      </w:pPr>
    </w:p>
    <w:p w14:paraId="4A066F75">
      <w:pPr>
        <w:jc w:val="center"/>
        <w:rPr>
          <w:rFonts w:hint="eastAsia" w:ascii="Arial" w:hAnsi="Arial" w:eastAsia="方正小标宋简体" w:cs="Arial"/>
          <w:sz w:val="44"/>
          <w:szCs w:val="44"/>
        </w:rPr>
      </w:pPr>
    </w:p>
    <w:p w14:paraId="7015FA23">
      <w:pPr>
        <w:jc w:val="center"/>
        <w:rPr>
          <w:rFonts w:hint="eastAsia" w:ascii="Arial" w:hAnsi="Arial" w:eastAsia="方正小标宋简体" w:cs="Arial"/>
          <w:sz w:val="44"/>
          <w:szCs w:val="44"/>
        </w:rPr>
      </w:pPr>
    </w:p>
    <w:p w14:paraId="5C424597">
      <w:pPr>
        <w:jc w:val="center"/>
        <w:rPr>
          <w:rFonts w:hint="eastAsia" w:ascii="Arial" w:hAnsi="Arial" w:eastAsia="方正小标宋简体" w:cs="Arial"/>
          <w:sz w:val="44"/>
          <w:szCs w:val="44"/>
        </w:rPr>
      </w:pPr>
    </w:p>
    <w:p w14:paraId="591B3468">
      <w:pPr>
        <w:jc w:val="center"/>
        <w:rPr>
          <w:rFonts w:hint="eastAsia" w:ascii="Arial" w:hAnsi="Arial" w:eastAsia="方正小标宋简体" w:cs="Arial"/>
          <w:sz w:val="44"/>
          <w:szCs w:val="44"/>
        </w:rPr>
      </w:pPr>
    </w:p>
    <w:p w14:paraId="3434AFCC">
      <w:pPr>
        <w:jc w:val="both"/>
        <w:rPr>
          <w:rFonts w:hint="eastAsia" w:ascii="Arial" w:hAnsi="Arial" w:eastAsia="方正小标宋简体" w:cs="Arial"/>
          <w:sz w:val="44"/>
          <w:szCs w:val="44"/>
        </w:rPr>
      </w:pPr>
    </w:p>
    <w:p w14:paraId="50B737FA">
      <w:pPr>
        <w:jc w:val="center"/>
        <w:rPr>
          <w:rFonts w:hint="eastAsia" w:ascii="Arial" w:hAnsi="Arial" w:eastAsia="方正小标宋简体" w:cs="Arial"/>
          <w:sz w:val="44"/>
          <w:szCs w:val="44"/>
        </w:rPr>
      </w:pPr>
      <w:r>
        <w:rPr>
          <w:rFonts w:hint="eastAsia" w:ascii="Arial" w:hAnsi="Arial" w:eastAsia="方正小标宋简体" w:cs="Arial"/>
          <w:sz w:val="44"/>
          <w:szCs w:val="44"/>
        </w:rPr>
        <w:t>第二部分 2023年度部门决算表</w:t>
      </w:r>
    </w:p>
    <w:p w14:paraId="522E5622">
      <w:pPr>
        <w:spacing w:before="101" w:line="224" w:lineRule="auto"/>
        <w:ind w:left="672"/>
        <w:rPr>
          <w:rFonts w:ascii="黑体" w:hAnsi="黑体" w:eastAsia="黑体" w:cs="黑体"/>
          <w:spacing w:val="-7"/>
          <w:sz w:val="31"/>
          <w:szCs w:val="31"/>
        </w:rPr>
      </w:pPr>
      <w:r>
        <w:rPr>
          <w:rFonts w:ascii="黑体" w:hAnsi="黑体" w:eastAsia="黑体" w:cs="黑体"/>
          <w:spacing w:val="-7"/>
          <w:sz w:val="31"/>
          <w:szCs w:val="31"/>
        </w:rPr>
        <w:t>一、 收入支出决算总表</w:t>
      </w:r>
    </w:p>
    <w:p w14:paraId="022649EF">
      <w:pPr>
        <w:spacing w:before="101" w:line="5918" w:lineRule="exact"/>
        <w:ind w:firstLine="194"/>
        <w:textAlignment w:val="center"/>
        <w:rPr>
          <w:rFonts w:hint="eastAsia" w:eastAsia="宋体"/>
          <w:lang w:eastAsia="zh-CN"/>
        </w:rPr>
      </w:pPr>
      <w:r>
        <w:rPr>
          <w:rFonts w:hint="eastAsia" w:eastAsia="宋体"/>
          <w:lang w:eastAsia="zh-CN"/>
        </w:rPr>
        <w:drawing>
          <wp:inline distT="0" distB="0" distL="114300" distR="114300">
            <wp:extent cx="5288280" cy="4175125"/>
            <wp:effectExtent l="0" t="0" r="0" b="635"/>
            <wp:docPr id="18" name="图片 18" descr="1725462113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725462113491"/>
                    <pic:cNvPicPr>
                      <a:picLocks noChangeAspect="1"/>
                    </pic:cNvPicPr>
                  </pic:nvPicPr>
                  <pic:blipFill>
                    <a:blip r:embed="rId19"/>
                    <a:stretch>
                      <a:fillRect/>
                    </a:stretch>
                  </pic:blipFill>
                  <pic:spPr>
                    <a:xfrm>
                      <a:off x="0" y="0"/>
                      <a:ext cx="5288280" cy="4175125"/>
                    </a:xfrm>
                    <a:prstGeom prst="rect">
                      <a:avLst/>
                    </a:prstGeom>
                  </pic:spPr>
                </pic:pic>
              </a:graphicData>
            </a:graphic>
          </wp:inline>
        </w:drawing>
      </w:r>
    </w:p>
    <w:p w14:paraId="12AAAD05">
      <w:pPr>
        <w:spacing w:line="337" w:lineRule="auto"/>
        <w:rPr>
          <w:rFonts w:ascii="Arial"/>
          <w:sz w:val="21"/>
        </w:rPr>
      </w:pPr>
    </w:p>
    <w:p w14:paraId="31B3E3F7">
      <w:pPr>
        <w:spacing w:line="338" w:lineRule="auto"/>
        <w:rPr>
          <w:rFonts w:ascii="Arial"/>
          <w:sz w:val="21"/>
        </w:rPr>
      </w:pPr>
    </w:p>
    <w:p w14:paraId="4641A4AC">
      <w:pPr>
        <w:sectPr>
          <w:footerReference r:id="rId8" w:type="default"/>
          <w:pgSz w:w="11907" w:h="16839"/>
          <w:pgMar w:top="1431" w:right="1785" w:bottom="1150" w:left="1785" w:header="0" w:footer="965" w:gutter="0"/>
          <w:pgNumType w:fmt="decimal"/>
          <w:cols w:space="720" w:num="1"/>
        </w:sectPr>
      </w:pPr>
    </w:p>
    <w:p w14:paraId="5DFE85B7">
      <w:pPr>
        <w:spacing w:line="339" w:lineRule="auto"/>
        <w:rPr>
          <w:rFonts w:ascii="Arial"/>
          <w:sz w:val="21"/>
        </w:rPr>
      </w:pPr>
    </w:p>
    <w:p w14:paraId="4B1421AF">
      <w:pPr>
        <w:spacing w:line="340" w:lineRule="auto"/>
        <w:rPr>
          <w:rFonts w:ascii="Arial"/>
          <w:sz w:val="21"/>
        </w:rPr>
      </w:pPr>
    </w:p>
    <w:p w14:paraId="1E979E17">
      <w:pPr>
        <w:spacing w:before="101" w:line="224" w:lineRule="auto"/>
        <w:ind w:left="672"/>
        <w:rPr>
          <w:rFonts w:ascii="黑体" w:hAnsi="黑体" w:eastAsia="黑体" w:cs="黑体"/>
          <w:sz w:val="31"/>
          <w:szCs w:val="31"/>
        </w:rPr>
      </w:pPr>
      <w:r>
        <w:rPr>
          <w:rFonts w:ascii="黑体" w:hAnsi="黑体" w:eastAsia="黑体" w:cs="黑体"/>
          <w:spacing w:val="9"/>
          <w:sz w:val="31"/>
          <w:szCs w:val="31"/>
        </w:rPr>
        <w:t>二</w:t>
      </w:r>
      <w:r>
        <w:rPr>
          <w:rFonts w:ascii="黑体" w:hAnsi="黑体" w:eastAsia="黑体" w:cs="黑体"/>
          <w:spacing w:val="7"/>
          <w:sz w:val="31"/>
          <w:szCs w:val="31"/>
        </w:rPr>
        <w:t>、收入决算表</w:t>
      </w:r>
    </w:p>
    <w:p w14:paraId="5C2888CD">
      <w:pPr>
        <w:spacing w:before="209" w:line="5702" w:lineRule="exact"/>
        <w:ind w:firstLine="324"/>
        <w:textAlignment w:val="center"/>
      </w:pPr>
      <w:r>
        <w:drawing>
          <wp:inline distT="0" distB="0" distL="114300" distR="114300">
            <wp:extent cx="5287010" cy="3072130"/>
            <wp:effectExtent l="0" t="0" r="1270" b="635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20"/>
                    <a:stretch>
                      <a:fillRect/>
                    </a:stretch>
                  </pic:blipFill>
                  <pic:spPr>
                    <a:xfrm>
                      <a:off x="0" y="0"/>
                      <a:ext cx="5287010" cy="3072130"/>
                    </a:xfrm>
                    <a:prstGeom prst="rect">
                      <a:avLst/>
                    </a:prstGeom>
                    <a:noFill/>
                    <a:ln>
                      <a:noFill/>
                    </a:ln>
                  </pic:spPr>
                </pic:pic>
              </a:graphicData>
            </a:graphic>
          </wp:inline>
        </w:drawing>
      </w:r>
    </w:p>
    <w:p w14:paraId="431A736C">
      <w:pPr>
        <w:spacing w:line="261" w:lineRule="auto"/>
        <w:rPr>
          <w:rFonts w:ascii="Arial"/>
          <w:sz w:val="21"/>
        </w:rPr>
      </w:pPr>
    </w:p>
    <w:p w14:paraId="218C1CA9">
      <w:pPr>
        <w:spacing w:line="261" w:lineRule="auto"/>
        <w:rPr>
          <w:rFonts w:ascii="Arial"/>
          <w:sz w:val="21"/>
        </w:rPr>
      </w:pPr>
    </w:p>
    <w:p w14:paraId="6B377ED1">
      <w:pPr>
        <w:spacing w:line="261" w:lineRule="auto"/>
        <w:rPr>
          <w:rFonts w:ascii="Arial"/>
          <w:sz w:val="21"/>
        </w:rPr>
      </w:pPr>
    </w:p>
    <w:p w14:paraId="04D0CA52">
      <w:pPr>
        <w:sectPr>
          <w:footerReference r:id="rId9" w:type="default"/>
          <w:pgSz w:w="11907" w:h="16839"/>
          <w:pgMar w:top="1431" w:right="1785" w:bottom="1153" w:left="1785" w:header="0" w:footer="965" w:gutter="0"/>
          <w:pgNumType w:fmt="decimal"/>
          <w:cols w:space="720" w:num="1"/>
        </w:sectPr>
      </w:pPr>
    </w:p>
    <w:p w14:paraId="6062081F">
      <w:pPr>
        <w:spacing w:line="339" w:lineRule="auto"/>
        <w:rPr>
          <w:rFonts w:ascii="Arial"/>
          <w:sz w:val="21"/>
        </w:rPr>
      </w:pPr>
    </w:p>
    <w:p w14:paraId="5E479B49">
      <w:pPr>
        <w:spacing w:line="340" w:lineRule="auto"/>
        <w:rPr>
          <w:rFonts w:ascii="Arial"/>
          <w:sz w:val="21"/>
        </w:rPr>
      </w:pPr>
    </w:p>
    <w:p w14:paraId="3E2AD851">
      <w:pPr>
        <w:spacing w:before="101" w:line="224" w:lineRule="auto"/>
        <w:ind w:left="674"/>
        <w:rPr>
          <w:rFonts w:ascii="黑体" w:hAnsi="黑体" w:eastAsia="黑体" w:cs="黑体"/>
          <w:sz w:val="31"/>
          <w:szCs w:val="31"/>
        </w:rPr>
      </w:pPr>
      <w:r>
        <w:rPr>
          <w:rFonts w:ascii="黑体" w:hAnsi="黑体" w:eastAsia="黑体" w:cs="黑体"/>
          <w:spacing w:val="8"/>
          <w:sz w:val="31"/>
          <w:szCs w:val="31"/>
        </w:rPr>
        <w:t>三</w:t>
      </w:r>
      <w:r>
        <w:rPr>
          <w:rFonts w:ascii="黑体" w:hAnsi="黑体" w:eastAsia="黑体" w:cs="黑体"/>
          <w:spacing w:val="7"/>
          <w:sz w:val="31"/>
          <w:szCs w:val="31"/>
        </w:rPr>
        <w:t>、支出决算表</w:t>
      </w:r>
    </w:p>
    <w:p w14:paraId="63BE71B7">
      <w:pPr>
        <w:spacing w:before="151" w:line="5818" w:lineRule="exact"/>
        <w:ind w:firstLine="240"/>
        <w:textAlignment w:val="center"/>
      </w:pPr>
      <w:r>
        <w:drawing>
          <wp:inline distT="0" distB="0" distL="114300" distR="114300">
            <wp:extent cx="5291455" cy="4067175"/>
            <wp:effectExtent l="0" t="0" r="12065" b="190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21"/>
                    <a:stretch>
                      <a:fillRect/>
                    </a:stretch>
                  </pic:blipFill>
                  <pic:spPr>
                    <a:xfrm>
                      <a:off x="0" y="0"/>
                      <a:ext cx="5291455" cy="4067175"/>
                    </a:xfrm>
                    <a:prstGeom prst="rect">
                      <a:avLst/>
                    </a:prstGeom>
                    <a:noFill/>
                    <a:ln>
                      <a:noFill/>
                    </a:ln>
                  </pic:spPr>
                </pic:pic>
              </a:graphicData>
            </a:graphic>
          </wp:inline>
        </w:drawing>
      </w:r>
    </w:p>
    <w:p w14:paraId="5E601C61">
      <w:pPr>
        <w:spacing w:line="241" w:lineRule="auto"/>
        <w:rPr>
          <w:rFonts w:ascii="Arial"/>
          <w:sz w:val="21"/>
        </w:rPr>
      </w:pPr>
    </w:p>
    <w:p w14:paraId="5255F705">
      <w:pPr>
        <w:spacing w:line="242" w:lineRule="auto"/>
        <w:rPr>
          <w:rFonts w:ascii="Arial"/>
          <w:sz w:val="21"/>
        </w:rPr>
      </w:pPr>
    </w:p>
    <w:p w14:paraId="7667C353">
      <w:pPr>
        <w:spacing w:line="242" w:lineRule="auto"/>
        <w:rPr>
          <w:rFonts w:ascii="Arial"/>
          <w:sz w:val="21"/>
        </w:rPr>
      </w:pPr>
    </w:p>
    <w:p w14:paraId="7723BA03">
      <w:pPr>
        <w:sectPr>
          <w:footerReference r:id="rId10" w:type="default"/>
          <w:pgSz w:w="11907" w:h="16839"/>
          <w:pgMar w:top="1431" w:right="1785" w:bottom="1150" w:left="1785" w:header="0" w:footer="965" w:gutter="0"/>
          <w:pgNumType w:fmt="decimal"/>
          <w:cols w:space="720" w:num="1"/>
        </w:sectPr>
      </w:pPr>
    </w:p>
    <w:p w14:paraId="398BFC9B">
      <w:pPr>
        <w:spacing w:line="339" w:lineRule="auto"/>
        <w:rPr>
          <w:rFonts w:ascii="Arial"/>
          <w:sz w:val="21"/>
        </w:rPr>
      </w:pPr>
    </w:p>
    <w:p w14:paraId="09310362">
      <w:pPr>
        <w:spacing w:line="340" w:lineRule="auto"/>
        <w:rPr>
          <w:rFonts w:ascii="Arial"/>
          <w:sz w:val="21"/>
        </w:rPr>
      </w:pPr>
    </w:p>
    <w:p w14:paraId="434704B6">
      <w:pPr>
        <w:spacing w:before="101" w:line="224" w:lineRule="auto"/>
        <w:ind w:left="686"/>
        <w:rPr>
          <w:rFonts w:ascii="黑体" w:hAnsi="黑体" w:eastAsia="黑体" w:cs="黑体"/>
          <w:sz w:val="31"/>
          <w:szCs w:val="31"/>
        </w:rPr>
      </w:pPr>
      <w:r>
        <w:rPr>
          <w:rFonts w:ascii="黑体" w:hAnsi="黑体" w:eastAsia="黑体" w:cs="黑体"/>
          <w:spacing w:val="14"/>
          <w:sz w:val="31"/>
          <w:szCs w:val="31"/>
        </w:rPr>
        <w:t>四</w:t>
      </w:r>
      <w:r>
        <w:rPr>
          <w:rFonts w:ascii="黑体" w:hAnsi="黑体" w:eastAsia="黑体" w:cs="黑体"/>
          <w:spacing w:val="8"/>
          <w:sz w:val="31"/>
          <w:szCs w:val="31"/>
        </w:rPr>
        <w:t>、</w:t>
      </w:r>
      <w:r>
        <w:rPr>
          <w:rFonts w:ascii="黑体" w:hAnsi="黑体" w:eastAsia="黑体" w:cs="黑体"/>
          <w:spacing w:val="7"/>
          <w:sz w:val="31"/>
          <w:szCs w:val="31"/>
        </w:rPr>
        <w:t>财政拨款收入支出决算总表</w:t>
      </w:r>
    </w:p>
    <w:p w14:paraId="000519DF">
      <w:pPr>
        <w:spacing w:line="245" w:lineRule="auto"/>
        <w:rPr>
          <w:rFonts w:ascii="Arial"/>
          <w:sz w:val="21"/>
        </w:rPr>
      </w:pPr>
    </w:p>
    <w:p w14:paraId="68F0242F">
      <w:pPr>
        <w:spacing w:line="4378" w:lineRule="exact"/>
        <w:ind w:firstLine="14"/>
        <w:textAlignment w:val="center"/>
      </w:pPr>
      <w:r>
        <w:drawing>
          <wp:inline distT="0" distB="0" distL="114300" distR="114300">
            <wp:extent cx="5288280" cy="3904615"/>
            <wp:effectExtent l="0" t="0" r="0" b="12065"/>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22"/>
                    <a:stretch>
                      <a:fillRect/>
                    </a:stretch>
                  </pic:blipFill>
                  <pic:spPr>
                    <a:xfrm>
                      <a:off x="0" y="0"/>
                      <a:ext cx="5288280" cy="3904615"/>
                    </a:xfrm>
                    <a:prstGeom prst="rect">
                      <a:avLst/>
                    </a:prstGeom>
                    <a:noFill/>
                    <a:ln>
                      <a:noFill/>
                    </a:ln>
                  </pic:spPr>
                </pic:pic>
              </a:graphicData>
            </a:graphic>
          </wp:inline>
        </w:drawing>
      </w:r>
    </w:p>
    <w:p w14:paraId="1114C046">
      <w:pPr>
        <w:spacing w:line="273" w:lineRule="auto"/>
        <w:rPr>
          <w:rFonts w:ascii="Arial"/>
          <w:sz w:val="21"/>
        </w:rPr>
      </w:pPr>
    </w:p>
    <w:p w14:paraId="4A0B8E97">
      <w:pPr>
        <w:spacing w:line="273" w:lineRule="auto"/>
        <w:rPr>
          <w:rFonts w:ascii="Arial"/>
          <w:sz w:val="21"/>
        </w:rPr>
      </w:pPr>
    </w:p>
    <w:p w14:paraId="739560D0">
      <w:pPr>
        <w:spacing w:line="274" w:lineRule="auto"/>
        <w:rPr>
          <w:rFonts w:ascii="Arial"/>
          <w:sz w:val="21"/>
        </w:rPr>
      </w:pPr>
    </w:p>
    <w:p w14:paraId="6BA1D4CE">
      <w:pPr>
        <w:sectPr>
          <w:footerReference r:id="rId11" w:type="default"/>
          <w:pgSz w:w="11907" w:h="16839"/>
          <w:pgMar w:top="1431" w:right="1785" w:bottom="1153" w:left="1785" w:header="0" w:footer="965" w:gutter="0"/>
          <w:pgNumType w:fmt="decimal"/>
          <w:cols w:space="720" w:num="1"/>
        </w:sectPr>
      </w:pPr>
    </w:p>
    <w:p w14:paraId="79C3B41D">
      <w:pPr>
        <w:spacing w:line="339" w:lineRule="auto"/>
        <w:rPr>
          <w:rFonts w:ascii="Arial"/>
          <w:sz w:val="21"/>
        </w:rPr>
      </w:pPr>
    </w:p>
    <w:p w14:paraId="150A5E7F">
      <w:pPr>
        <w:spacing w:line="339" w:lineRule="auto"/>
        <w:rPr>
          <w:rFonts w:ascii="Arial"/>
          <w:sz w:val="21"/>
        </w:rPr>
      </w:pPr>
    </w:p>
    <w:p w14:paraId="222ECBC0">
      <w:pPr>
        <w:spacing w:before="100" w:line="224" w:lineRule="auto"/>
        <w:ind w:left="676"/>
        <w:rPr>
          <w:rFonts w:ascii="黑体" w:hAnsi="黑体" w:eastAsia="黑体" w:cs="黑体"/>
          <w:sz w:val="31"/>
          <w:szCs w:val="31"/>
        </w:rPr>
      </w:pPr>
      <w:r>
        <w:rPr>
          <w:rFonts w:ascii="黑体" w:hAnsi="黑体" w:eastAsia="黑体" w:cs="黑体"/>
          <w:spacing w:val="16"/>
          <w:sz w:val="31"/>
          <w:szCs w:val="31"/>
        </w:rPr>
        <w:t>五</w:t>
      </w:r>
      <w:r>
        <w:rPr>
          <w:rFonts w:ascii="黑体" w:hAnsi="黑体" w:eastAsia="黑体" w:cs="黑体"/>
          <w:spacing w:val="10"/>
          <w:sz w:val="31"/>
          <w:szCs w:val="31"/>
        </w:rPr>
        <w:t>、</w:t>
      </w:r>
      <w:r>
        <w:rPr>
          <w:rFonts w:ascii="黑体" w:hAnsi="黑体" w:eastAsia="黑体" w:cs="黑体"/>
          <w:spacing w:val="8"/>
          <w:sz w:val="31"/>
          <w:szCs w:val="31"/>
        </w:rPr>
        <w:t>一般公共预算财政拨款支出决算表</w:t>
      </w:r>
    </w:p>
    <w:p w14:paraId="7820EDDE">
      <w:pPr>
        <w:spacing w:before="229" w:line="4102" w:lineRule="exact"/>
        <w:ind w:firstLine="14"/>
        <w:textAlignment w:val="center"/>
      </w:pPr>
      <w:r>
        <w:drawing>
          <wp:inline distT="0" distB="0" distL="114300" distR="114300">
            <wp:extent cx="5283835" cy="4124960"/>
            <wp:effectExtent l="0" t="0" r="4445" b="508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23"/>
                    <a:stretch>
                      <a:fillRect/>
                    </a:stretch>
                  </pic:blipFill>
                  <pic:spPr>
                    <a:xfrm>
                      <a:off x="0" y="0"/>
                      <a:ext cx="5283835" cy="4124960"/>
                    </a:xfrm>
                    <a:prstGeom prst="rect">
                      <a:avLst/>
                    </a:prstGeom>
                    <a:noFill/>
                    <a:ln>
                      <a:noFill/>
                    </a:ln>
                  </pic:spPr>
                </pic:pic>
              </a:graphicData>
            </a:graphic>
          </wp:inline>
        </w:drawing>
      </w:r>
    </w:p>
    <w:p w14:paraId="0FD5D624">
      <w:pPr>
        <w:spacing w:line="268" w:lineRule="auto"/>
        <w:rPr>
          <w:rFonts w:ascii="Arial"/>
          <w:sz w:val="21"/>
        </w:rPr>
      </w:pPr>
    </w:p>
    <w:p w14:paraId="67AA6394">
      <w:pPr>
        <w:spacing w:line="268" w:lineRule="auto"/>
        <w:rPr>
          <w:rFonts w:ascii="Arial"/>
          <w:sz w:val="21"/>
        </w:rPr>
      </w:pPr>
    </w:p>
    <w:p w14:paraId="7DB4E6A5">
      <w:pPr>
        <w:spacing w:line="269" w:lineRule="auto"/>
        <w:rPr>
          <w:rFonts w:ascii="Arial"/>
          <w:sz w:val="21"/>
        </w:rPr>
      </w:pPr>
    </w:p>
    <w:p w14:paraId="4763FA19">
      <w:pPr>
        <w:sectPr>
          <w:footerReference r:id="rId12" w:type="default"/>
          <w:pgSz w:w="11907" w:h="16839"/>
          <w:pgMar w:top="1431" w:right="1785" w:bottom="1153" w:left="1785" w:header="0" w:footer="965" w:gutter="0"/>
          <w:pgNumType w:fmt="decimal"/>
          <w:cols w:space="720" w:num="1"/>
        </w:sectPr>
      </w:pPr>
    </w:p>
    <w:p w14:paraId="171288D0">
      <w:pPr>
        <w:spacing w:line="339" w:lineRule="auto"/>
        <w:rPr>
          <w:rFonts w:ascii="Arial"/>
          <w:sz w:val="21"/>
        </w:rPr>
      </w:pPr>
    </w:p>
    <w:p w14:paraId="67C179A0">
      <w:pPr>
        <w:spacing w:line="339" w:lineRule="auto"/>
        <w:rPr>
          <w:rFonts w:ascii="Arial"/>
          <w:sz w:val="21"/>
        </w:rPr>
      </w:pPr>
    </w:p>
    <w:p w14:paraId="0F0FD0FC">
      <w:pPr>
        <w:spacing w:before="100" w:line="224" w:lineRule="auto"/>
        <w:ind w:left="677"/>
        <w:rPr>
          <w:rFonts w:ascii="黑体" w:hAnsi="黑体" w:eastAsia="黑体" w:cs="黑体"/>
          <w:sz w:val="31"/>
          <w:szCs w:val="31"/>
        </w:rPr>
      </w:pPr>
      <w:r>
        <w:rPr>
          <w:rFonts w:ascii="黑体" w:hAnsi="黑体" w:eastAsia="黑体" w:cs="黑体"/>
          <w:spacing w:val="9"/>
          <w:sz w:val="31"/>
          <w:szCs w:val="31"/>
        </w:rPr>
        <w:t>六、一般公共预算财政拨款基本支出决算明细</w:t>
      </w:r>
      <w:r>
        <w:rPr>
          <w:rFonts w:ascii="黑体" w:hAnsi="黑体" w:eastAsia="黑体" w:cs="黑体"/>
          <w:spacing w:val="6"/>
          <w:sz w:val="31"/>
          <w:szCs w:val="31"/>
        </w:rPr>
        <w:t>表</w:t>
      </w:r>
    </w:p>
    <w:p w14:paraId="54581FA6">
      <w:pPr>
        <w:spacing w:before="234" w:line="5964" w:lineRule="exact"/>
        <w:ind w:firstLine="237"/>
        <w:textAlignment w:val="center"/>
      </w:pPr>
      <w:r>
        <w:drawing>
          <wp:inline distT="0" distB="0" distL="114300" distR="114300">
            <wp:extent cx="5293360" cy="2947035"/>
            <wp:effectExtent l="0" t="0" r="10160" b="9525"/>
            <wp:docPr id="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
                    <pic:cNvPicPr>
                      <a:picLocks noChangeAspect="1"/>
                    </pic:cNvPicPr>
                  </pic:nvPicPr>
                  <pic:blipFill>
                    <a:blip r:embed="rId24"/>
                    <a:stretch>
                      <a:fillRect/>
                    </a:stretch>
                  </pic:blipFill>
                  <pic:spPr>
                    <a:xfrm>
                      <a:off x="0" y="0"/>
                      <a:ext cx="5293360" cy="2947035"/>
                    </a:xfrm>
                    <a:prstGeom prst="rect">
                      <a:avLst/>
                    </a:prstGeom>
                    <a:noFill/>
                    <a:ln>
                      <a:noFill/>
                    </a:ln>
                  </pic:spPr>
                </pic:pic>
              </a:graphicData>
            </a:graphic>
          </wp:inline>
        </w:drawing>
      </w:r>
    </w:p>
    <w:p w14:paraId="3CBB90D9">
      <w:pPr>
        <w:spacing w:line="270" w:lineRule="auto"/>
        <w:rPr>
          <w:rFonts w:ascii="Arial"/>
          <w:sz w:val="21"/>
        </w:rPr>
      </w:pPr>
    </w:p>
    <w:p w14:paraId="2D44DC5F">
      <w:pPr>
        <w:spacing w:line="270" w:lineRule="auto"/>
        <w:rPr>
          <w:rFonts w:ascii="Arial"/>
          <w:sz w:val="21"/>
        </w:rPr>
      </w:pPr>
    </w:p>
    <w:p w14:paraId="7E22016E">
      <w:pPr>
        <w:spacing w:line="270" w:lineRule="auto"/>
        <w:rPr>
          <w:rFonts w:ascii="Arial"/>
          <w:sz w:val="21"/>
        </w:rPr>
      </w:pPr>
    </w:p>
    <w:p w14:paraId="69E2F9CD">
      <w:pPr>
        <w:sectPr>
          <w:footerReference r:id="rId13" w:type="default"/>
          <w:pgSz w:w="11907" w:h="16839"/>
          <w:pgMar w:top="1431" w:right="1785" w:bottom="1153" w:left="1785" w:header="0" w:footer="965" w:gutter="0"/>
          <w:pgNumType w:fmt="decimal"/>
          <w:cols w:space="720" w:num="1"/>
        </w:sectPr>
      </w:pPr>
    </w:p>
    <w:p w14:paraId="4722E6F8">
      <w:pPr>
        <w:spacing w:line="339" w:lineRule="auto"/>
        <w:rPr>
          <w:rFonts w:ascii="Arial"/>
          <w:sz w:val="21"/>
        </w:rPr>
      </w:pPr>
    </w:p>
    <w:p w14:paraId="15F9EB8F">
      <w:pPr>
        <w:spacing w:line="340" w:lineRule="auto"/>
        <w:rPr>
          <w:rFonts w:ascii="Arial"/>
          <w:sz w:val="21"/>
        </w:rPr>
      </w:pPr>
    </w:p>
    <w:p w14:paraId="75B59883">
      <w:pPr>
        <w:spacing w:before="101" w:line="224" w:lineRule="auto"/>
        <w:ind w:left="666"/>
        <w:rPr>
          <w:rFonts w:ascii="黑体" w:hAnsi="黑体" w:eastAsia="黑体" w:cs="黑体"/>
          <w:sz w:val="31"/>
          <w:szCs w:val="31"/>
        </w:rPr>
      </w:pPr>
      <w:r>
        <w:rPr>
          <w:rFonts w:ascii="黑体" w:hAnsi="黑体" w:eastAsia="黑体" w:cs="黑体"/>
          <w:spacing w:val="15"/>
          <w:sz w:val="31"/>
          <w:szCs w:val="31"/>
        </w:rPr>
        <w:t>七</w:t>
      </w:r>
      <w:r>
        <w:rPr>
          <w:rFonts w:ascii="黑体" w:hAnsi="黑体" w:eastAsia="黑体" w:cs="黑体"/>
          <w:spacing w:val="9"/>
          <w:sz w:val="31"/>
          <w:szCs w:val="31"/>
        </w:rPr>
        <w:t>、政府性基金预算财政拨款收入支出决算表</w:t>
      </w:r>
    </w:p>
    <w:p w14:paraId="69D049E1">
      <w:pPr>
        <w:spacing w:before="235" w:line="4714" w:lineRule="exact"/>
        <w:ind w:firstLine="240"/>
        <w:textAlignment w:val="center"/>
      </w:pPr>
      <w:r>
        <w:drawing>
          <wp:inline distT="0" distB="0" distL="114300" distR="114300">
            <wp:extent cx="5534025" cy="2834640"/>
            <wp:effectExtent l="0" t="0" r="13335" b="0"/>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25"/>
                    <a:stretch>
                      <a:fillRect/>
                    </a:stretch>
                  </pic:blipFill>
                  <pic:spPr>
                    <a:xfrm>
                      <a:off x="0" y="0"/>
                      <a:ext cx="5534025" cy="2834640"/>
                    </a:xfrm>
                    <a:prstGeom prst="rect">
                      <a:avLst/>
                    </a:prstGeom>
                    <a:noFill/>
                    <a:ln>
                      <a:noFill/>
                    </a:ln>
                  </pic:spPr>
                </pic:pic>
              </a:graphicData>
            </a:graphic>
          </wp:inline>
        </w:drawing>
      </w:r>
    </w:p>
    <w:p w14:paraId="1A275254">
      <w:pPr>
        <w:spacing w:line="268" w:lineRule="auto"/>
        <w:rPr>
          <w:rFonts w:ascii="Arial"/>
          <w:sz w:val="21"/>
        </w:rPr>
      </w:pPr>
    </w:p>
    <w:p w14:paraId="35653A28">
      <w:pPr>
        <w:spacing w:line="269" w:lineRule="auto"/>
        <w:rPr>
          <w:rFonts w:ascii="Arial"/>
          <w:sz w:val="21"/>
        </w:rPr>
      </w:pPr>
    </w:p>
    <w:p w14:paraId="6BB7A770">
      <w:pPr>
        <w:spacing w:line="269" w:lineRule="auto"/>
        <w:rPr>
          <w:rFonts w:ascii="Arial"/>
          <w:sz w:val="21"/>
        </w:rPr>
      </w:pPr>
    </w:p>
    <w:p w14:paraId="6578F4D2">
      <w:pPr>
        <w:spacing w:before="101" w:line="376" w:lineRule="auto"/>
        <w:ind w:left="33" w:right="14" w:firstLine="641"/>
        <w:rPr>
          <w:rFonts w:ascii="仿宋" w:hAnsi="仿宋" w:eastAsia="仿宋" w:cs="仿宋"/>
          <w:sz w:val="31"/>
          <w:szCs w:val="31"/>
        </w:rPr>
      </w:pPr>
      <w:r>
        <w:rPr>
          <w:rFonts w:ascii="仿宋" w:hAnsi="仿宋" w:eastAsia="仿宋" w:cs="仿宋"/>
          <w:color w:val="FF0000"/>
          <w:spacing w:val="16"/>
          <w:sz w:val="31"/>
          <w:szCs w:val="31"/>
        </w:rPr>
        <w:t>注</w:t>
      </w:r>
      <w:r>
        <w:rPr>
          <w:rFonts w:ascii="仿宋" w:hAnsi="仿宋" w:eastAsia="仿宋" w:cs="仿宋"/>
          <w:color w:val="FF0000"/>
          <w:spacing w:val="9"/>
          <w:sz w:val="31"/>
          <w:szCs w:val="31"/>
        </w:rPr>
        <w:t>：</w:t>
      </w:r>
      <w:r>
        <w:rPr>
          <w:rFonts w:ascii="仿宋" w:hAnsi="仿宋" w:eastAsia="仿宋" w:cs="仿宋"/>
          <w:color w:val="FF0000"/>
          <w:spacing w:val="2"/>
          <w:sz w:val="31"/>
          <w:szCs w:val="31"/>
        </w:rPr>
        <w:t>本单位没有政府</w:t>
      </w:r>
      <w:r>
        <w:rPr>
          <w:rFonts w:hint="eastAsia" w:ascii="仿宋" w:hAnsi="仿宋" w:eastAsia="仿宋" w:cs="仿宋"/>
          <w:color w:val="FF0000"/>
          <w:spacing w:val="2"/>
          <w:sz w:val="31"/>
          <w:szCs w:val="31"/>
          <w:lang w:eastAsia="zh-CN"/>
        </w:rPr>
        <w:t>性</w:t>
      </w:r>
      <w:r>
        <w:rPr>
          <w:rFonts w:ascii="仿宋" w:hAnsi="仿宋" w:eastAsia="仿宋" w:cs="仿宋"/>
          <w:color w:val="FF0000"/>
          <w:spacing w:val="2"/>
          <w:sz w:val="31"/>
          <w:szCs w:val="31"/>
        </w:rPr>
        <w:t>基金预算财</w:t>
      </w:r>
      <w:r>
        <w:rPr>
          <w:rFonts w:ascii="仿宋" w:hAnsi="仿宋" w:eastAsia="仿宋" w:cs="仿宋"/>
          <w:color w:val="FF0000"/>
          <w:spacing w:val="4"/>
          <w:sz w:val="31"/>
          <w:szCs w:val="31"/>
        </w:rPr>
        <w:t>政拨款。</w:t>
      </w:r>
    </w:p>
    <w:p w14:paraId="166E4F32">
      <w:pPr>
        <w:sectPr>
          <w:footerReference r:id="rId14" w:type="default"/>
          <w:pgSz w:w="11907" w:h="16839"/>
          <w:pgMar w:top="1431" w:right="1785" w:bottom="1153" w:left="1785" w:header="0" w:footer="965" w:gutter="0"/>
          <w:pgNumType w:fmt="decimal"/>
          <w:cols w:space="720" w:num="1"/>
        </w:sectPr>
      </w:pPr>
    </w:p>
    <w:p w14:paraId="0B367126">
      <w:pPr>
        <w:spacing w:line="339" w:lineRule="auto"/>
        <w:rPr>
          <w:rFonts w:ascii="Arial"/>
          <w:sz w:val="21"/>
        </w:rPr>
      </w:pPr>
    </w:p>
    <w:p w14:paraId="32F19E55">
      <w:pPr>
        <w:spacing w:line="340" w:lineRule="auto"/>
        <w:rPr>
          <w:rFonts w:ascii="Arial"/>
          <w:sz w:val="21"/>
        </w:rPr>
      </w:pPr>
    </w:p>
    <w:p w14:paraId="354B2292">
      <w:pPr>
        <w:spacing w:before="101" w:line="224" w:lineRule="auto"/>
        <w:ind w:left="667"/>
        <w:rPr>
          <w:rFonts w:ascii="黑体" w:hAnsi="黑体" w:eastAsia="黑体" w:cs="黑体"/>
          <w:sz w:val="31"/>
          <w:szCs w:val="31"/>
        </w:rPr>
      </w:pPr>
      <w:r>
        <w:rPr>
          <w:rFonts w:ascii="黑体" w:hAnsi="黑体" w:eastAsia="黑体" w:cs="黑体"/>
          <w:spacing w:val="13"/>
          <w:sz w:val="31"/>
          <w:szCs w:val="31"/>
        </w:rPr>
        <w:t>八</w:t>
      </w:r>
      <w:r>
        <w:rPr>
          <w:rFonts w:ascii="黑体" w:hAnsi="黑体" w:eastAsia="黑体" w:cs="黑体"/>
          <w:spacing w:val="9"/>
          <w:sz w:val="31"/>
          <w:szCs w:val="31"/>
        </w:rPr>
        <w:t>、国有资本经营预算财政拨款支出决算表</w:t>
      </w:r>
    </w:p>
    <w:p w14:paraId="5C2FF9CC">
      <w:pPr>
        <w:spacing w:before="182" w:line="4817" w:lineRule="exact"/>
        <w:ind w:firstLine="28"/>
        <w:textAlignment w:val="center"/>
      </w:pPr>
      <w:r>
        <w:drawing>
          <wp:inline distT="0" distB="0" distL="114300" distR="114300">
            <wp:extent cx="5288280" cy="3021965"/>
            <wp:effectExtent l="0" t="0" r="0" b="10795"/>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7"/>
                    <pic:cNvPicPr>
                      <a:picLocks noChangeAspect="1"/>
                    </pic:cNvPicPr>
                  </pic:nvPicPr>
                  <pic:blipFill>
                    <a:blip r:embed="rId26"/>
                    <a:stretch>
                      <a:fillRect/>
                    </a:stretch>
                  </pic:blipFill>
                  <pic:spPr>
                    <a:xfrm>
                      <a:off x="0" y="0"/>
                      <a:ext cx="5288280" cy="3021965"/>
                    </a:xfrm>
                    <a:prstGeom prst="rect">
                      <a:avLst/>
                    </a:prstGeom>
                    <a:noFill/>
                    <a:ln>
                      <a:noFill/>
                    </a:ln>
                  </pic:spPr>
                </pic:pic>
              </a:graphicData>
            </a:graphic>
          </wp:inline>
        </w:drawing>
      </w:r>
    </w:p>
    <w:p w14:paraId="55EC87BD">
      <w:pPr>
        <w:spacing w:line="253" w:lineRule="auto"/>
        <w:rPr>
          <w:rFonts w:ascii="Arial"/>
          <w:sz w:val="21"/>
        </w:rPr>
      </w:pPr>
    </w:p>
    <w:p w14:paraId="248EF360">
      <w:pPr>
        <w:spacing w:line="254" w:lineRule="auto"/>
        <w:rPr>
          <w:rFonts w:ascii="Arial"/>
          <w:sz w:val="21"/>
        </w:rPr>
      </w:pPr>
    </w:p>
    <w:p w14:paraId="2C6B5005">
      <w:pPr>
        <w:spacing w:line="254" w:lineRule="auto"/>
        <w:rPr>
          <w:rFonts w:ascii="Arial"/>
          <w:sz w:val="21"/>
        </w:rPr>
      </w:pPr>
    </w:p>
    <w:p w14:paraId="06F271D1">
      <w:pPr>
        <w:spacing w:before="101" w:line="375" w:lineRule="auto"/>
        <w:ind w:left="24" w:right="13" w:firstLine="650"/>
        <w:rPr>
          <w:rFonts w:ascii="仿宋" w:hAnsi="仿宋" w:eastAsia="仿宋" w:cs="仿宋"/>
          <w:sz w:val="31"/>
          <w:szCs w:val="31"/>
        </w:rPr>
      </w:pPr>
      <w:r>
        <w:rPr>
          <w:rFonts w:ascii="仿宋" w:hAnsi="仿宋" w:eastAsia="仿宋" w:cs="仿宋"/>
          <w:color w:val="FF0000"/>
          <w:spacing w:val="16"/>
          <w:sz w:val="31"/>
          <w:szCs w:val="31"/>
        </w:rPr>
        <w:t>注</w:t>
      </w:r>
      <w:r>
        <w:rPr>
          <w:rFonts w:ascii="仿宋" w:hAnsi="仿宋" w:eastAsia="仿宋" w:cs="仿宋"/>
          <w:color w:val="FF0000"/>
          <w:spacing w:val="9"/>
          <w:sz w:val="31"/>
          <w:szCs w:val="31"/>
        </w:rPr>
        <w:t>：</w:t>
      </w:r>
      <w:r>
        <w:rPr>
          <w:rFonts w:ascii="仿宋" w:hAnsi="仿宋" w:eastAsia="仿宋" w:cs="仿宋"/>
          <w:color w:val="FF0000"/>
          <w:spacing w:val="3"/>
          <w:sz w:val="31"/>
          <w:szCs w:val="31"/>
        </w:rPr>
        <w:t>本单位没有国有资本经营预</w:t>
      </w:r>
      <w:r>
        <w:rPr>
          <w:rFonts w:ascii="仿宋" w:hAnsi="仿宋" w:eastAsia="仿宋" w:cs="仿宋"/>
          <w:color w:val="FF0000"/>
          <w:spacing w:val="1"/>
          <w:sz w:val="31"/>
          <w:szCs w:val="31"/>
        </w:rPr>
        <w:t>算财</w:t>
      </w:r>
      <w:r>
        <w:rPr>
          <w:rFonts w:ascii="仿宋" w:hAnsi="仿宋" w:eastAsia="仿宋" w:cs="仿宋"/>
          <w:color w:val="FF0000"/>
          <w:sz w:val="31"/>
          <w:szCs w:val="31"/>
        </w:rPr>
        <w:t>政拨款。</w:t>
      </w:r>
    </w:p>
    <w:p w14:paraId="57290ED2">
      <w:pPr>
        <w:sectPr>
          <w:footerReference r:id="rId15" w:type="default"/>
          <w:pgSz w:w="11907" w:h="16839"/>
          <w:pgMar w:top="1431" w:right="1785" w:bottom="1153" w:left="1785" w:header="0" w:footer="965" w:gutter="0"/>
          <w:pgNumType w:fmt="decimal"/>
          <w:cols w:space="720" w:num="1"/>
        </w:sectPr>
      </w:pPr>
    </w:p>
    <w:p w14:paraId="66B68BDA">
      <w:pPr>
        <w:spacing w:line="339" w:lineRule="auto"/>
        <w:rPr>
          <w:rFonts w:ascii="Arial"/>
          <w:sz w:val="21"/>
        </w:rPr>
      </w:pPr>
    </w:p>
    <w:p w14:paraId="2B3266B3">
      <w:pPr>
        <w:spacing w:line="340" w:lineRule="auto"/>
        <w:rPr>
          <w:rFonts w:ascii="Arial"/>
          <w:sz w:val="21"/>
        </w:rPr>
      </w:pPr>
    </w:p>
    <w:p w14:paraId="5ADFE6BB">
      <w:pPr>
        <w:spacing w:before="101" w:line="224" w:lineRule="auto"/>
        <w:ind w:left="675"/>
        <w:rPr>
          <w:rFonts w:ascii="黑体" w:hAnsi="黑体" w:eastAsia="黑体" w:cs="黑体"/>
          <w:sz w:val="31"/>
          <w:szCs w:val="31"/>
        </w:rPr>
      </w:pPr>
      <w:r>
        <w:rPr>
          <w:rFonts w:ascii="黑体" w:hAnsi="黑体" w:eastAsia="黑体" w:cs="黑体"/>
          <w:spacing w:val="16"/>
          <w:sz w:val="31"/>
          <w:szCs w:val="31"/>
        </w:rPr>
        <w:t>九</w:t>
      </w:r>
      <w:r>
        <w:rPr>
          <w:rFonts w:ascii="黑体" w:hAnsi="黑体" w:eastAsia="黑体" w:cs="黑体"/>
          <w:spacing w:val="11"/>
          <w:sz w:val="31"/>
          <w:szCs w:val="31"/>
        </w:rPr>
        <w:t>、</w:t>
      </w:r>
      <w:r>
        <w:rPr>
          <w:rFonts w:ascii="黑体" w:hAnsi="黑体" w:eastAsia="黑体" w:cs="黑体"/>
          <w:spacing w:val="8"/>
          <w:sz w:val="31"/>
          <w:szCs w:val="31"/>
        </w:rPr>
        <w:t>财政拨款“三公”经费支出决算表</w:t>
      </w:r>
    </w:p>
    <w:p w14:paraId="58699D0B">
      <w:pPr>
        <w:spacing w:before="96" w:line="5302" w:lineRule="exact"/>
        <w:ind w:firstLine="237"/>
        <w:textAlignment w:val="center"/>
      </w:pPr>
      <w:r>
        <w:drawing>
          <wp:inline distT="0" distB="0" distL="0" distR="0">
            <wp:extent cx="4991100" cy="336677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7"/>
                    <a:stretch>
                      <a:fillRect/>
                    </a:stretch>
                  </pic:blipFill>
                  <pic:spPr>
                    <a:xfrm>
                      <a:off x="0" y="0"/>
                      <a:ext cx="4991100" cy="3366770"/>
                    </a:xfrm>
                    <a:prstGeom prst="rect">
                      <a:avLst/>
                    </a:prstGeom>
                  </pic:spPr>
                </pic:pic>
              </a:graphicData>
            </a:graphic>
          </wp:inline>
        </w:drawing>
      </w:r>
    </w:p>
    <w:p w14:paraId="48FA684E">
      <w:pPr>
        <w:spacing w:line="339" w:lineRule="auto"/>
        <w:rPr>
          <w:rFonts w:ascii="Arial"/>
          <w:sz w:val="21"/>
        </w:rPr>
      </w:pPr>
      <w:r>
        <w:rPr>
          <w:rFonts w:ascii="仿宋" w:hAnsi="仿宋" w:eastAsia="仿宋" w:cs="仿宋"/>
          <w:color w:val="FF0000"/>
          <w:spacing w:val="16"/>
          <w:sz w:val="31"/>
          <w:szCs w:val="31"/>
        </w:rPr>
        <w:t>注</w:t>
      </w:r>
      <w:r>
        <w:rPr>
          <w:rFonts w:ascii="仿宋" w:hAnsi="仿宋" w:eastAsia="仿宋" w:cs="仿宋"/>
          <w:color w:val="FF0000"/>
          <w:spacing w:val="12"/>
          <w:sz w:val="31"/>
          <w:szCs w:val="31"/>
        </w:rPr>
        <w:t>：</w:t>
      </w:r>
      <w:r>
        <w:rPr>
          <w:rFonts w:ascii="仿宋" w:hAnsi="仿宋" w:eastAsia="仿宋" w:cs="仿宋"/>
          <w:color w:val="FF0000"/>
          <w:spacing w:val="2"/>
          <w:sz w:val="31"/>
          <w:szCs w:val="31"/>
        </w:rPr>
        <w:t>本单位没有财政拨款“三公”经费</w:t>
      </w:r>
      <w:r>
        <w:rPr>
          <w:rFonts w:ascii="仿宋" w:hAnsi="仿宋" w:eastAsia="仿宋" w:cs="仿宋"/>
          <w:color w:val="FF0000"/>
          <w:spacing w:val="44"/>
          <w:sz w:val="31"/>
          <w:szCs w:val="31"/>
        </w:rPr>
        <w:t>支出。</w:t>
      </w:r>
    </w:p>
    <w:p w14:paraId="3386B7F3">
      <w:pPr>
        <w:spacing w:line="340" w:lineRule="auto"/>
        <w:rPr>
          <w:rFonts w:ascii="Arial"/>
          <w:sz w:val="21"/>
        </w:rPr>
      </w:pPr>
    </w:p>
    <w:p w14:paraId="47898A23">
      <w:pPr>
        <w:spacing w:before="101" w:line="229" w:lineRule="auto"/>
        <w:ind w:left="30"/>
        <w:rPr>
          <w:rFonts w:ascii="黑体" w:hAnsi="黑体" w:eastAsia="黑体" w:cs="黑体"/>
          <w:spacing w:val="16"/>
          <w:sz w:val="31"/>
          <w:szCs w:val="31"/>
        </w:rPr>
      </w:pPr>
    </w:p>
    <w:p w14:paraId="6C0592D4">
      <w:pPr>
        <w:spacing w:before="101" w:line="229" w:lineRule="auto"/>
        <w:ind w:left="30"/>
        <w:rPr>
          <w:rFonts w:ascii="黑体" w:hAnsi="黑体" w:eastAsia="黑体" w:cs="黑体"/>
          <w:spacing w:val="16"/>
          <w:sz w:val="31"/>
          <w:szCs w:val="31"/>
        </w:rPr>
      </w:pPr>
    </w:p>
    <w:p w14:paraId="61D59ACF">
      <w:pPr>
        <w:spacing w:before="101" w:line="229" w:lineRule="auto"/>
        <w:ind w:left="30"/>
        <w:rPr>
          <w:rFonts w:ascii="黑体" w:hAnsi="黑体" w:eastAsia="黑体" w:cs="黑体"/>
          <w:spacing w:val="16"/>
          <w:sz w:val="31"/>
          <w:szCs w:val="31"/>
        </w:rPr>
      </w:pPr>
    </w:p>
    <w:p w14:paraId="79D71350">
      <w:pPr>
        <w:spacing w:before="101" w:line="229" w:lineRule="auto"/>
        <w:ind w:left="30"/>
        <w:rPr>
          <w:rFonts w:ascii="黑体" w:hAnsi="黑体" w:eastAsia="黑体" w:cs="黑体"/>
          <w:spacing w:val="16"/>
          <w:sz w:val="31"/>
          <w:szCs w:val="31"/>
        </w:rPr>
      </w:pPr>
    </w:p>
    <w:p w14:paraId="08B2E5DB">
      <w:pPr>
        <w:spacing w:before="101" w:line="229" w:lineRule="auto"/>
        <w:ind w:left="30"/>
        <w:rPr>
          <w:rFonts w:ascii="黑体" w:hAnsi="黑体" w:eastAsia="黑体" w:cs="黑体"/>
          <w:spacing w:val="16"/>
          <w:sz w:val="31"/>
          <w:szCs w:val="31"/>
        </w:rPr>
      </w:pPr>
    </w:p>
    <w:p w14:paraId="25FE857F">
      <w:pPr>
        <w:spacing w:before="101" w:line="229" w:lineRule="auto"/>
        <w:ind w:left="30"/>
        <w:rPr>
          <w:rFonts w:ascii="黑体" w:hAnsi="黑体" w:eastAsia="黑体" w:cs="黑体"/>
          <w:spacing w:val="16"/>
          <w:sz w:val="31"/>
          <w:szCs w:val="31"/>
        </w:rPr>
      </w:pPr>
    </w:p>
    <w:p w14:paraId="09DF04E7">
      <w:pPr>
        <w:spacing w:before="101" w:line="229" w:lineRule="auto"/>
        <w:ind w:left="30"/>
        <w:rPr>
          <w:rFonts w:ascii="黑体" w:hAnsi="黑体" w:eastAsia="黑体" w:cs="黑体"/>
          <w:spacing w:val="16"/>
          <w:sz w:val="31"/>
          <w:szCs w:val="31"/>
        </w:rPr>
      </w:pPr>
    </w:p>
    <w:p w14:paraId="42202C1B">
      <w:pPr>
        <w:spacing w:before="101" w:line="229" w:lineRule="auto"/>
        <w:ind w:left="30"/>
        <w:rPr>
          <w:rFonts w:ascii="黑体" w:hAnsi="黑体" w:eastAsia="黑体" w:cs="黑体"/>
          <w:spacing w:val="16"/>
          <w:sz w:val="31"/>
          <w:szCs w:val="31"/>
        </w:rPr>
      </w:pPr>
    </w:p>
    <w:p w14:paraId="5E53708C">
      <w:pPr>
        <w:spacing w:before="101" w:line="229" w:lineRule="auto"/>
        <w:ind w:left="30"/>
        <w:rPr>
          <w:rFonts w:ascii="黑体" w:hAnsi="黑体" w:eastAsia="黑体" w:cs="黑体"/>
          <w:spacing w:val="16"/>
          <w:sz w:val="31"/>
          <w:szCs w:val="31"/>
        </w:rPr>
      </w:pPr>
    </w:p>
    <w:p w14:paraId="79E438C4">
      <w:pPr>
        <w:spacing w:before="101" w:line="229" w:lineRule="auto"/>
        <w:ind w:left="30"/>
        <w:rPr>
          <w:rFonts w:ascii="黑体" w:hAnsi="黑体" w:eastAsia="黑体" w:cs="黑体"/>
          <w:spacing w:val="16"/>
          <w:sz w:val="31"/>
          <w:szCs w:val="31"/>
        </w:rPr>
      </w:pPr>
    </w:p>
    <w:p w14:paraId="1C634AAE">
      <w:pPr>
        <w:spacing w:before="101" w:line="229" w:lineRule="auto"/>
        <w:ind w:left="30"/>
        <w:rPr>
          <w:rFonts w:ascii="黑体" w:hAnsi="黑体" w:eastAsia="黑体" w:cs="黑体"/>
          <w:spacing w:val="16"/>
          <w:sz w:val="31"/>
          <w:szCs w:val="31"/>
        </w:rPr>
      </w:pPr>
    </w:p>
    <w:p w14:paraId="2581B203">
      <w:pPr>
        <w:spacing w:before="101" w:line="229" w:lineRule="auto"/>
        <w:ind w:left="30"/>
        <w:rPr>
          <w:rFonts w:ascii="黑体" w:hAnsi="黑体" w:eastAsia="黑体" w:cs="黑体"/>
          <w:spacing w:val="16"/>
          <w:sz w:val="31"/>
          <w:szCs w:val="31"/>
        </w:rPr>
      </w:pPr>
    </w:p>
    <w:p w14:paraId="5F5787D1">
      <w:pPr>
        <w:spacing w:before="101" w:line="229" w:lineRule="auto"/>
        <w:ind w:left="30"/>
        <w:rPr>
          <w:rFonts w:ascii="黑体" w:hAnsi="黑体" w:eastAsia="黑体" w:cs="黑体"/>
          <w:spacing w:val="16"/>
          <w:sz w:val="31"/>
          <w:szCs w:val="31"/>
        </w:rPr>
      </w:pPr>
    </w:p>
    <w:p w14:paraId="0F451DE2">
      <w:pPr>
        <w:spacing w:before="101" w:line="229" w:lineRule="auto"/>
        <w:ind w:left="30"/>
        <w:rPr>
          <w:rFonts w:ascii="黑体" w:hAnsi="黑体" w:eastAsia="黑体" w:cs="黑体"/>
          <w:spacing w:val="16"/>
          <w:sz w:val="31"/>
          <w:szCs w:val="31"/>
        </w:rPr>
      </w:pPr>
    </w:p>
    <w:p w14:paraId="7D854BB9">
      <w:pPr>
        <w:spacing w:before="101" w:line="229" w:lineRule="auto"/>
        <w:ind w:left="30"/>
        <w:rPr>
          <w:rFonts w:ascii="黑体" w:hAnsi="黑体" w:eastAsia="黑体" w:cs="黑体"/>
          <w:spacing w:val="16"/>
          <w:sz w:val="31"/>
          <w:szCs w:val="31"/>
        </w:rPr>
      </w:pPr>
    </w:p>
    <w:p w14:paraId="2B4CB2F8">
      <w:pPr>
        <w:spacing w:before="101" w:line="229" w:lineRule="auto"/>
        <w:ind w:left="30"/>
        <w:rPr>
          <w:rFonts w:ascii="黑体" w:hAnsi="黑体" w:eastAsia="黑体" w:cs="黑体"/>
          <w:sz w:val="31"/>
          <w:szCs w:val="31"/>
        </w:rPr>
      </w:pPr>
      <w:r>
        <w:rPr>
          <w:rFonts w:ascii="黑体" w:hAnsi="黑体" w:eastAsia="黑体" w:cs="黑体"/>
          <w:spacing w:val="16"/>
          <w:sz w:val="31"/>
          <w:szCs w:val="31"/>
        </w:rPr>
        <w:t>十</w:t>
      </w:r>
      <w:r>
        <w:rPr>
          <w:rFonts w:ascii="黑体" w:hAnsi="黑体" w:eastAsia="黑体" w:cs="黑体"/>
          <w:spacing w:val="10"/>
          <w:sz w:val="31"/>
          <w:szCs w:val="31"/>
        </w:rPr>
        <w:t>、</w:t>
      </w:r>
      <w:r>
        <w:rPr>
          <w:rFonts w:ascii="黑体" w:hAnsi="黑体" w:eastAsia="黑体" w:cs="黑体"/>
          <w:spacing w:val="8"/>
          <w:sz w:val="31"/>
          <w:szCs w:val="31"/>
        </w:rPr>
        <w:t>部门预算项目支出绩效自评表</w:t>
      </w:r>
    </w:p>
    <w:p w14:paraId="7F34957F">
      <w:pPr>
        <w:spacing w:line="258" w:lineRule="auto"/>
        <w:rPr>
          <w:rFonts w:ascii="Arial"/>
          <w:sz w:val="21"/>
        </w:rPr>
      </w:pPr>
    </w:p>
    <w:p w14:paraId="1AD3B8CB">
      <w:pPr>
        <w:spacing w:line="258" w:lineRule="auto"/>
        <w:rPr>
          <w:rFonts w:ascii="Arial"/>
          <w:sz w:val="21"/>
        </w:rPr>
      </w:pPr>
    </w:p>
    <w:p w14:paraId="56A70B52">
      <w:pPr>
        <w:spacing w:line="258" w:lineRule="auto"/>
        <w:rPr>
          <w:rFonts w:ascii="Arial"/>
          <w:sz w:val="21"/>
        </w:rPr>
      </w:pPr>
    </w:p>
    <w:p w14:paraId="5D82D91D">
      <w:pPr>
        <w:spacing w:line="9847" w:lineRule="exact"/>
        <w:ind w:firstLine="297"/>
        <w:textAlignment w:val="center"/>
        <w:sectPr>
          <w:footerReference r:id="rId16" w:type="default"/>
          <w:pgSz w:w="11907" w:h="16839"/>
          <w:pgMar w:top="1431" w:right="1785" w:bottom="1153" w:left="1785" w:header="0" w:footer="965" w:gutter="0"/>
          <w:pgNumType w:fmt="decimal"/>
          <w:cols w:space="720" w:num="1"/>
        </w:sectPr>
      </w:pPr>
      <w:r>
        <w:drawing>
          <wp:inline distT="0" distB="0" distL="114300" distR="114300">
            <wp:extent cx="5292090" cy="5998210"/>
            <wp:effectExtent l="0" t="0" r="11430" b="635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8"/>
                    <pic:cNvPicPr>
                      <a:picLocks noChangeAspect="1"/>
                    </pic:cNvPicPr>
                  </pic:nvPicPr>
                  <pic:blipFill>
                    <a:blip r:embed="rId28"/>
                    <a:stretch>
                      <a:fillRect/>
                    </a:stretch>
                  </pic:blipFill>
                  <pic:spPr>
                    <a:xfrm>
                      <a:off x="0" y="0"/>
                      <a:ext cx="5292090" cy="5998210"/>
                    </a:xfrm>
                    <a:prstGeom prst="rect">
                      <a:avLst/>
                    </a:prstGeom>
                    <a:noFill/>
                    <a:ln>
                      <a:noFill/>
                    </a:ln>
                  </pic:spPr>
                </pic:pic>
              </a:graphicData>
            </a:graphic>
          </wp:inline>
        </w:drawing>
      </w:r>
    </w:p>
    <w:p w14:paraId="6EC8C94A">
      <w:pPr>
        <w:jc w:val="center"/>
        <w:rPr>
          <w:rFonts w:hint="eastAsia" w:ascii="Arial" w:hAnsi="Arial" w:eastAsia="方正小标宋简体" w:cs="Arial"/>
          <w:sz w:val="44"/>
          <w:szCs w:val="44"/>
        </w:rPr>
      </w:pPr>
      <w:r>
        <w:rPr>
          <w:rFonts w:hint="eastAsia" w:ascii="Arial" w:hAnsi="Arial" w:eastAsia="方正小标宋简体" w:cs="Arial"/>
          <w:sz w:val="44"/>
          <w:szCs w:val="44"/>
        </w:rPr>
        <w:t>第三部分 2023年度部门决算情况说明</w:t>
      </w:r>
    </w:p>
    <w:p w14:paraId="349104E6">
      <w:pPr>
        <w:spacing w:line="295" w:lineRule="auto"/>
        <w:rPr>
          <w:rFonts w:ascii="Arial"/>
          <w:sz w:val="21"/>
        </w:rPr>
      </w:pPr>
    </w:p>
    <w:p w14:paraId="7636315B">
      <w:pPr>
        <w:spacing w:line="295" w:lineRule="auto"/>
        <w:rPr>
          <w:rFonts w:ascii="Arial"/>
          <w:sz w:val="21"/>
        </w:rPr>
      </w:pPr>
    </w:p>
    <w:p w14:paraId="4723E78F">
      <w:pPr>
        <w:spacing w:line="296" w:lineRule="auto"/>
        <w:rPr>
          <w:rFonts w:ascii="Arial"/>
          <w:sz w:val="21"/>
        </w:rPr>
      </w:pPr>
    </w:p>
    <w:p w14:paraId="39290FB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9" w:firstLineChars="139"/>
        <w:textAlignment w:val="baseline"/>
        <w:rPr>
          <w:rFonts w:ascii="黑体" w:hAnsi="黑体" w:eastAsia="黑体" w:cs="黑体"/>
          <w:sz w:val="31"/>
          <w:szCs w:val="31"/>
        </w:rPr>
      </w:pPr>
      <w:r>
        <w:rPr>
          <w:rFonts w:ascii="黑体" w:hAnsi="黑体" w:eastAsia="黑体" w:cs="黑体"/>
          <w:spacing w:val="-4"/>
          <w:sz w:val="31"/>
          <w:szCs w:val="31"/>
        </w:rPr>
        <w:t>一、</w:t>
      </w:r>
      <w:r>
        <w:rPr>
          <w:rFonts w:ascii="黑体" w:hAnsi="黑体" w:eastAsia="黑体" w:cs="黑体"/>
          <w:spacing w:val="-2"/>
          <w:sz w:val="31"/>
          <w:szCs w:val="31"/>
        </w:rPr>
        <w:t>收入支出决算总体情况说明</w:t>
      </w:r>
    </w:p>
    <w:p w14:paraId="49FEA98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3" w:firstLineChars="139"/>
        <w:textAlignment w:val="baseline"/>
        <w:rPr>
          <w:rFonts w:hint="default" w:ascii="仿宋" w:hAnsi="仿宋" w:eastAsia="仿宋" w:cs="仿宋"/>
          <w:sz w:val="31"/>
          <w:szCs w:val="31"/>
          <w:lang w:val="en-US" w:eastAsia="zh-CN"/>
        </w:rPr>
      </w:pPr>
      <w:r>
        <w:rPr>
          <w:rFonts w:ascii="宋体" w:hAnsi="宋体" w:eastAsia="宋体" w:cs="宋体"/>
          <w:spacing w:val="1"/>
          <w:sz w:val="31"/>
          <w:szCs w:val="31"/>
        </w:rPr>
        <w:t>2023</w:t>
      </w:r>
      <w:r>
        <w:rPr>
          <w:rFonts w:ascii="仿宋" w:hAnsi="仿宋" w:eastAsia="仿宋" w:cs="仿宋"/>
          <w:spacing w:val="1"/>
          <w:sz w:val="31"/>
          <w:szCs w:val="31"/>
        </w:rPr>
        <w:t>年度收、支总计均为</w:t>
      </w:r>
      <w:r>
        <w:rPr>
          <w:rFonts w:hint="eastAsia" w:ascii="仿宋" w:hAnsi="仿宋" w:eastAsia="仿宋" w:cs="仿宋"/>
          <w:spacing w:val="1"/>
          <w:sz w:val="31"/>
          <w:szCs w:val="31"/>
          <w:lang w:val="en-US" w:eastAsia="zh-CN"/>
        </w:rPr>
        <w:t>937.40万元</w:t>
      </w:r>
      <w:r>
        <w:rPr>
          <w:rFonts w:hint="eastAsia" w:ascii="仿宋" w:hAnsi="仿宋" w:eastAsia="仿宋" w:cs="仿宋"/>
          <w:spacing w:val="1"/>
          <w:sz w:val="31"/>
          <w:szCs w:val="31"/>
          <w:lang w:eastAsia="zh-CN"/>
        </w:rPr>
        <w:t>、</w:t>
      </w:r>
      <w:r>
        <w:rPr>
          <w:rFonts w:hint="eastAsia" w:ascii="仿宋" w:hAnsi="仿宋" w:eastAsia="仿宋" w:cs="仿宋"/>
          <w:spacing w:val="1"/>
          <w:sz w:val="31"/>
          <w:szCs w:val="31"/>
          <w:lang w:val="en-US" w:eastAsia="zh-CN"/>
        </w:rPr>
        <w:t>937.84</w:t>
      </w:r>
      <w:r>
        <w:rPr>
          <w:rFonts w:ascii="仿宋" w:hAnsi="仿宋" w:eastAsia="仿宋" w:cs="仿宋"/>
          <w:spacing w:val="1"/>
          <w:sz w:val="31"/>
          <w:szCs w:val="31"/>
        </w:rPr>
        <w:t xml:space="preserve">万元。与 </w:t>
      </w:r>
      <w:r>
        <w:rPr>
          <w:rFonts w:ascii="宋体" w:hAnsi="宋体" w:eastAsia="宋体" w:cs="宋体"/>
          <w:spacing w:val="1"/>
          <w:sz w:val="31"/>
          <w:szCs w:val="31"/>
        </w:rPr>
        <w:t>2022</w:t>
      </w:r>
      <w:r>
        <w:rPr>
          <w:rFonts w:ascii="仿宋" w:hAnsi="仿宋" w:eastAsia="仿宋" w:cs="仿宋"/>
          <w:sz w:val="31"/>
          <w:szCs w:val="31"/>
        </w:rPr>
        <w:t>年度相比，</w:t>
      </w:r>
      <w:r>
        <w:rPr>
          <w:rFonts w:ascii="仿宋" w:hAnsi="仿宋" w:eastAsia="仿宋" w:cs="仿宋"/>
          <w:spacing w:val="6"/>
          <w:sz w:val="31"/>
          <w:szCs w:val="31"/>
        </w:rPr>
        <w:t>收、支总计各增加</w:t>
      </w:r>
      <w:r>
        <w:rPr>
          <w:rFonts w:hint="eastAsia" w:ascii="仿宋" w:hAnsi="仿宋" w:eastAsia="仿宋" w:cs="仿宋"/>
          <w:spacing w:val="1"/>
          <w:sz w:val="31"/>
          <w:szCs w:val="31"/>
          <w:lang w:val="en-US" w:eastAsia="zh-CN"/>
        </w:rPr>
        <w:t>370.47万元</w:t>
      </w:r>
      <w:r>
        <w:rPr>
          <w:rFonts w:hint="eastAsia" w:ascii="仿宋" w:hAnsi="仿宋" w:eastAsia="仿宋" w:cs="仿宋"/>
          <w:spacing w:val="1"/>
          <w:sz w:val="31"/>
          <w:szCs w:val="31"/>
          <w:lang w:eastAsia="zh-CN"/>
        </w:rPr>
        <w:t>、</w:t>
      </w:r>
      <w:r>
        <w:rPr>
          <w:rFonts w:hint="eastAsia" w:ascii="仿宋" w:hAnsi="仿宋" w:eastAsia="仿宋" w:cs="仿宋"/>
          <w:spacing w:val="1"/>
          <w:sz w:val="31"/>
          <w:szCs w:val="31"/>
          <w:lang w:val="en-US" w:eastAsia="zh-CN"/>
        </w:rPr>
        <w:t>370.91</w:t>
      </w:r>
      <w:r>
        <w:rPr>
          <w:rFonts w:hint="eastAsia" w:ascii="仿宋" w:hAnsi="仿宋" w:eastAsia="仿宋" w:cs="仿宋"/>
          <w:spacing w:val="6"/>
          <w:sz w:val="31"/>
          <w:szCs w:val="31"/>
          <w:lang w:val="en-US" w:eastAsia="zh-CN"/>
        </w:rPr>
        <w:t>万元</w:t>
      </w:r>
      <w:r>
        <w:rPr>
          <w:rFonts w:ascii="仿宋" w:hAnsi="仿宋" w:eastAsia="仿宋" w:cs="仿宋"/>
          <w:spacing w:val="6"/>
          <w:sz w:val="31"/>
          <w:szCs w:val="31"/>
        </w:rPr>
        <w:t>，增长</w:t>
      </w:r>
      <w:r>
        <w:rPr>
          <w:rFonts w:hint="eastAsia" w:ascii="仿宋" w:hAnsi="仿宋" w:eastAsia="仿宋" w:cs="仿宋"/>
          <w:spacing w:val="6"/>
          <w:sz w:val="31"/>
          <w:szCs w:val="31"/>
          <w:lang w:val="en-US" w:eastAsia="zh-CN"/>
        </w:rPr>
        <w:t>65.34</w:t>
      </w:r>
      <w:r>
        <w:rPr>
          <w:rFonts w:ascii="宋体" w:hAnsi="宋体" w:eastAsia="宋体" w:cs="宋体"/>
          <w:spacing w:val="6"/>
          <w:sz w:val="31"/>
          <w:szCs w:val="31"/>
        </w:rPr>
        <w:t>%</w:t>
      </w:r>
      <w:r>
        <w:rPr>
          <w:rFonts w:hint="eastAsia" w:ascii="宋体" w:hAnsi="宋体" w:eastAsia="宋体" w:cs="宋体"/>
          <w:spacing w:val="6"/>
          <w:sz w:val="31"/>
          <w:szCs w:val="31"/>
          <w:lang w:eastAsia="zh-CN"/>
        </w:rPr>
        <w:t>、</w:t>
      </w:r>
      <w:r>
        <w:rPr>
          <w:rFonts w:hint="eastAsia" w:ascii="宋体" w:hAnsi="宋体" w:eastAsia="宋体" w:cs="宋体"/>
          <w:spacing w:val="6"/>
          <w:sz w:val="31"/>
          <w:szCs w:val="31"/>
          <w:lang w:val="en-US" w:eastAsia="zh-CN"/>
        </w:rPr>
        <w:t>65.42%</w:t>
      </w:r>
      <w:r>
        <w:rPr>
          <w:rFonts w:ascii="仿宋" w:hAnsi="仿宋" w:eastAsia="仿宋" w:cs="仿宋"/>
          <w:spacing w:val="6"/>
          <w:sz w:val="31"/>
          <w:szCs w:val="31"/>
        </w:rPr>
        <w:t>。</w:t>
      </w:r>
      <w:r>
        <w:rPr>
          <w:rFonts w:ascii="仿宋" w:hAnsi="仿宋" w:eastAsia="仿宋" w:cs="仿宋"/>
          <w:spacing w:val="3"/>
          <w:sz w:val="31"/>
          <w:szCs w:val="31"/>
        </w:rPr>
        <w:t>主</w:t>
      </w:r>
      <w:r>
        <w:rPr>
          <w:rFonts w:ascii="仿宋" w:hAnsi="仿宋" w:eastAsia="仿宋" w:cs="仿宋"/>
          <w:spacing w:val="-17"/>
          <w:sz w:val="31"/>
          <w:szCs w:val="31"/>
        </w:rPr>
        <w:t>要</w:t>
      </w:r>
      <w:r>
        <w:rPr>
          <w:rFonts w:ascii="仿宋" w:hAnsi="仿宋" w:eastAsia="仿宋" w:cs="仿宋"/>
          <w:spacing w:val="-14"/>
          <w:sz w:val="31"/>
          <w:szCs w:val="31"/>
        </w:rPr>
        <w:t>原因：</w:t>
      </w:r>
      <w:r>
        <w:rPr>
          <w:rFonts w:hint="eastAsia" w:ascii="仿宋" w:hAnsi="仿宋" w:eastAsia="仿宋" w:cs="仿宋"/>
          <w:spacing w:val="-14"/>
          <w:sz w:val="31"/>
          <w:szCs w:val="31"/>
          <w:lang w:val="en-US" w:eastAsia="zh-CN"/>
        </w:rPr>
        <w:t>人员经费和项目经费增加。</w:t>
      </w:r>
    </w:p>
    <w:p w14:paraId="6A526A1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97" w:firstLineChars="139"/>
        <w:textAlignment w:val="baseline"/>
        <w:rPr>
          <w:rFonts w:ascii="黑体" w:hAnsi="黑体" w:eastAsia="黑体" w:cs="黑体"/>
          <w:sz w:val="31"/>
          <w:szCs w:val="31"/>
        </w:rPr>
      </w:pPr>
      <w:r>
        <w:rPr>
          <w:rFonts w:ascii="黑体" w:hAnsi="黑体" w:eastAsia="黑体" w:cs="黑体"/>
          <w:spacing w:val="-12"/>
          <w:sz w:val="31"/>
          <w:szCs w:val="31"/>
        </w:rPr>
        <w:t>二</w:t>
      </w:r>
      <w:r>
        <w:rPr>
          <w:rFonts w:ascii="黑体" w:hAnsi="黑体" w:eastAsia="黑体" w:cs="黑体"/>
          <w:spacing w:val="-8"/>
          <w:sz w:val="31"/>
          <w:szCs w:val="31"/>
        </w:rPr>
        <w:t>、</w:t>
      </w:r>
      <w:r>
        <w:rPr>
          <w:rFonts w:ascii="黑体" w:hAnsi="黑体" w:eastAsia="黑体" w:cs="黑体"/>
          <w:spacing w:val="-6"/>
          <w:sz w:val="31"/>
          <w:szCs w:val="31"/>
        </w:rPr>
        <w:t>收入决算情况说明</w:t>
      </w:r>
    </w:p>
    <w:p w14:paraId="5F795F8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86" w:firstLineChars="139"/>
        <w:textAlignment w:val="baseline"/>
        <w:rPr>
          <w:rFonts w:ascii="仿宋" w:hAnsi="仿宋" w:eastAsia="仿宋" w:cs="仿宋"/>
          <w:sz w:val="31"/>
          <w:szCs w:val="31"/>
        </w:rPr>
      </w:pPr>
      <w:r>
        <w:rPr>
          <w:rFonts w:ascii="仿宋" w:hAnsi="仿宋" w:eastAsia="仿宋" w:cs="仿宋"/>
          <w:spacing w:val="-16"/>
          <w:sz w:val="31"/>
          <w:szCs w:val="31"/>
        </w:rPr>
        <w:t>本年</w:t>
      </w:r>
      <w:r>
        <w:rPr>
          <w:rFonts w:ascii="仿宋" w:hAnsi="仿宋" w:eastAsia="仿宋" w:cs="仿宋"/>
          <w:spacing w:val="-11"/>
          <w:sz w:val="31"/>
          <w:szCs w:val="31"/>
        </w:rPr>
        <w:t>收</w:t>
      </w:r>
      <w:r>
        <w:rPr>
          <w:rFonts w:ascii="仿宋" w:hAnsi="仿宋" w:eastAsia="仿宋" w:cs="仿宋"/>
          <w:spacing w:val="-8"/>
          <w:sz w:val="31"/>
          <w:szCs w:val="31"/>
        </w:rPr>
        <w:t>入合计</w:t>
      </w:r>
      <w:r>
        <w:rPr>
          <w:rFonts w:hint="eastAsia" w:ascii="仿宋" w:hAnsi="仿宋" w:eastAsia="仿宋" w:cs="仿宋"/>
          <w:spacing w:val="-8"/>
          <w:sz w:val="31"/>
          <w:szCs w:val="31"/>
          <w:lang w:val="en-US" w:eastAsia="zh-CN"/>
        </w:rPr>
        <w:t>938.06</w:t>
      </w:r>
      <w:r>
        <w:rPr>
          <w:rFonts w:ascii="仿宋" w:hAnsi="仿宋" w:eastAsia="仿宋" w:cs="仿宋"/>
          <w:spacing w:val="-8"/>
          <w:sz w:val="31"/>
          <w:szCs w:val="31"/>
        </w:rPr>
        <w:t>万元，其中：财政拨款收入</w:t>
      </w:r>
      <w:r>
        <w:rPr>
          <w:rFonts w:hint="eastAsia" w:ascii="仿宋" w:hAnsi="仿宋" w:eastAsia="仿宋" w:cs="仿宋"/>
          <w:spacing w:val="-8"/>
          <w:sz w:val="31"/>
          <w:szCs w:val="31"/>
          <w:lang w:val="en-US" w:eastAsia="zh-CN"/>
        </w:rPr>
        <w:t>937.35</w:t>
      </w:r>
      <w:r>
        <w:rPr>
          <w:rFonts w:ascii="仿宋" w:hAnsi="仿宋" w:eastAsia="仿宋" w:cs="仿宋"/>
          <w:spacing w:val="-8"/>
          <w:sz w:val="31"/>
          <w:szCs w:val="31"/>
        </w:rPr>
        <w:t>万元，比</w:t>
      </w:r>
      <w:r>
        <w:rPr>
          <w:rFonts w:ascii="仿宋" w:hAnsi="仿宋" w:eastAsia="仿宋" w:cs="仿宋"/>
          <w:spacing w:val="14"/>
          <w:sz w:val="31"/>
          <w:szCs w:val="31"/>
        </w:rPr>
        <w:t>上</w:t>
      </w:r>
      <w:r>
        <w:rPr>
          <w:rFonts w:ascii="仿宋" w:hAnsi="仿宋" w:eastAsia="仿宋" w:cs="仿宋"/>
          <w:spacing w:val="7"/>
          <w:sz w:val="31"/>
          <w:szCs w:val="31"/>
        </w:rPr>
        <w:t>年增加</w:t>
      </w:r>
      <w:r>
        <w:rPr>
          <w:rFonts w:hint="eastAsia" w:ascii="仿宋" w:hAnsi="仿宋" w:eastAsia="仿宋" w:cs="仿宋"/>
          <w:spacing w:val="7"/>
          <w:sz w:val="31"/>
          <w:szCs w:val="31"/>
          <w:lang w:val="en-US" w:eastAsia="zh-CN"/>
        </w:rPr>
        <w:t>371.07</w:t>
      </w:r>
      <w:r>
        <w:rPr>
          <w:rFonts w:ascii="仿宋" w:hAnsi="仿宋" w:eastAsia="仿宋" w:cs="仿宋"/>
          <w:spacing w:val="7"/>
          <w:sz w:val="31"/>
          <w:szCs w:val="31"/>
        </w:rPr>
        <w:t>万元，增长</w:t>
      </w:r>
      <w:r>
        <w:rPr>
          <w:rFonts w:hint="eastAsia" w:ascii="仿宋" w:hAnsi="仿宋" w:eastAsia="仿宋" w:cs="仿宋"/>
          <w:spacing w:val="7"/>
          <w:sz w:val="31"/>
          <w:szCs w:val="31"/>
          <w:lang w:val="en-US" w:eastAsia="zh-CN"/>
        </w:rPr>
        <w:t>65.52</w:t>
      </w:r>
      <w:r>
        <w:rPr>
          <w:rFonts w:ascii="宋体" w:hAnsi="宋体" w:eastAsia="宋体" w:cs="宋体"/>
          <w:spacing w:val="7"/>
          <w:sz w:val="31"/>
          <w:szCs w:val="31"/>
        </w:rPr>
        <w:t>%</w:t>
      </w:r>
      <w:r>
        <w:rPr>
          <w:rFonts w:ascii="仿宋" w:hAnsi="仿宋" w:eastAsia="仿宋" w:cs="仿宋"/>
          <w:spacing w:val="7"/>
          <w:sz w:val="31"/>
          <w:szCs w:val="31"/>
        </w:rPr>
        <w:t>，主要是</w:t>
      </w:r>
      <w:r>
        <w:rPr>
          <w:rFonts w:hint="eastAsia" w:ascii="仿宋" w:hAnsi="仿宋" w:eastAsia="仿宋" w:cs="仿宋"/>
          <w:spacing w:val="7"/>
          <w:sz w:val="31"/>
          <w:szCs w:val="31"/>
          <w:lang w:val="en-US" w:eastAsia="zh-CN"/>
        </w:rPr>
        <w:t>当年</w:t>
      </w:r>
      <w:r>
        <w:rPr>
          <w:rFonts w:hint="eastAsia" w:ascii="仿宋" w:hAnsi="仿宋" w:eastAsia="仿宋" w:cs="仿宋"/>
          <w:spacing w:val="-14"/>
          <w:sz w:val="31"/>
          <w:szCs w:val="31"/>
          <w:lang w:val="en-US" w:eastAsia="zh-CN"/>
        </w:rPr>
        <w:t>人员经费和项目经费增加</w:t>
      </w:r>
      <w:r>
        <w:rPr>
          <w:rFonts w:ascii="仿宋" w:hAnsi="仿宋" w:eastAsia="仿宋" w:cs="仿宋"/>
          <w:spacing w:val="7"/>
          <w:sz w:val="31"/>
          <w:szCs w:val="31"/>
        </w:rPr>
        <w:t>；上</w:t>
      </w:r>
      <w:r>
        <w:rPr>
          <w:rFonts w:ascii="仿宋" w:hAnsi="仿宋" w:eastAsia="仿宋" w:cs="仿宋"/>
          <w:spacing w:val="1"/>
          <w:sz w:val="31"/>
          <w:szCs w:val="31"/>
        </w:rPr>
        <w:t>级补助收入</w:t>
      </w:r>
      <w:r>
        <w:rPr>
          <w:rFonts w:hint="eastAsia" w:ascii="仿宋" w:hAnsi="仿宋" w:eastAsia="仿宋" w:cs="仿宋"/>
          <w:spacing w:val="1"/>
          <w:sz w:val="31"/>
          <w:szCs w:val="31"/>
          <w:lang w:val="en-US" w:eastAsia="zh-CN"/>
        </w:rPr>
        <w:t>0.00</w:t>
      </w:r>
      <w:r>
        <w:rPr>
          <w:rFonts w:ascii="仿宋" w:hAnsi="仿宋" w:eastAsia="仿宋" w:cs="仿宋"/>
          <w:spacing w:val="1"/>
          <w:sz w:val="31"/>
          <w:szCs w:val="31"/>
        </w:rPr>
        <w:t>万元，比上年</w:t>
      </w:r>
      <w:r>
        <w:rPr>
          <w:rFonts w:ascii="仿宋" w:hAnsi="仿宋" w:eastAsia="仿宋" w:cs="仿宋"/>
          <w:sz w:val="31"/>
          <w:szCs w:val="31"/>
        </w:rPr>
        <w:t>增加</w:t>
      </w:r>
      <w:r>
        <w:rPr>
          <w:rFonts w:hint="eastAsia" w:ascii="仿宋" w:hAnsi="仿宋" w:eastAsia="仿宋" w:cs="仿宋"/>
          <w:sz w:val="31"/>
          <w:szCs w:val="31"/>
          <w:lang w:eastAsia="zh-CN"/>
        </w:rPr>
        <w:t>（</w:t>
      </w:r>
      <w:r>
        <w:rPr>
          <w:rFonts w:ascii="仿宋" w:hAnsi="仿宋" w:eastAsia="仿宋" w:cs="仿宋"/>
          <w:sz w:val="31"/>
          <w:szCs w:val="31"/>
        </w:rPr>
        <w:t>减少</w:t>
      </w:r>
      <w:r>
        <w:rPr>
          <w:rFonts w:hint="eastAsia" w:ascii="仿宋" w:hAnsi="仿宋" w:eastAsia="仿宋" w:cs="仿宋"/>
          <w:sz w:val="31"/>
          <w:szCs w:val="31"/>
          <w:lang w:eastAsia="zh-CN"/>
        </w:rPr>
        <w:t>）</w:t>
      </w:r>
      <w:r>
        <w:rPr>
          <w:rFonts w:hint="eastAsia" w:ascii="仿宋" w:hAnsi="仿宋" w:eastAsia="仿宋" w:cs="仿宋"/>
          <w:sz w:val="31"/>
          <w:szCs w:val="31"/>
          <w:lang w:val="en-US" w:eastAsia="zh-CN"/>
        </w:rPr>
        <w:t>0.00</w:t>
      </w:r>
      <w:r>
        <w:rPr>
          <w:rFonts w:ascii="仿宋" w:hAnsi="仿宋" w:eastAsia="仿宋" w:cs="仿宋"/>
          <w:sz w:val="31"/>
          <w:szCs w:val="31"/>
        </w:rPr>
        <w:t>万元，增长</w:t>
      </w:r>
      <w:r>
        <w:rPr>
          <w:rFonts w:hint="eastAsia" w:ascii="仿宋" w:hAnsi="仿宋" w:eastAsia="仿宋" w:cs="仿宋"/>
          <w:sz w:val="31"/>
          <w:szCs w:val="31"/>
          <w:lang w:eastAsia="zh-CN"/>
        </w:rPr>
        <w:t>（</w:t>
      </w:r>
      <w:r>
        <w:rPr>
          <w:rFonts w:ascii="仿宋" w:hAnsi="仿宋" w:eastAsia="仿宋" w:cs="仿宋"/>
          <w:sz w:val="31"/>
          <w:szCs w:val="31"/>
        </w:rPr>
        <w:t>下降</w:t>
      </w:r>
      <w:r>
        <w:rPr>
          <w:rFonts w:hint="eastAsia" w:ascii="仿宋" w:hAnsi="仿宋" w:eastAsia="仿宋" w:cs="仿宋"/>
          <w:sz w:val="31"/>
          <w:szCs w:val="31"/>
          <w:lang w:eastAsia="zh-CN"/>
        </w:rPr>
        <w:t>）</w:t>
      </w:r>
      <w:r>
        <w:rPr>
          <w:rFonts w:hint="eastAsia" w:ascii="仿宋" w:hAnsi="仿宋" w:eastAsia="仿宋" w:cs="仿宋"/>
          <w:sz w:val="31"/>
          <w:szCs w:val="31"/>
          <w:lang w:val="en-US" w:eastAsia="zh-CN"/>
        </w:rPr>
        <w:t>0.00</w:t>
      </w:r>
      <w:r>
        <w:rPr>
          <w:rFonts w:ascii="宋体" w:hAnsi="宋体" w:eastAsia="宋体" w:cs="宋体"/>
          <w:sz w:val="31"/>
          <w:szCs w:val="31"/>
        </w:rPr>
        <w:t>%</w:t>
      </w:r>
      <w:r>
        <w:rPr>
          <w:rFonts w:ascii="仿宋" w:hAnsi="仿宋" w:eastAsia="仿宋" w:cs="仿宋"/>
          <w:sz w:val="31"/>
          <w:szCs w:val="31"/>
        </w:rPr>
        <w:t xml:space="preserve">， </w:t>
      </w:r>
      <w:r>
        <w:rPr>
          <w:rFonts w:ascii="仿宋" w:hAnsi="仿宋" w:eastAsia="仿宋" w:cs="仿宋"/>
          <w:spacing w:val="1"/>
          <w:sz w:val="31"/>
          <w:szCs w:val="31"/>
        </w:rPr>
        <w:t>主要是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1"/>
          <w:sz w:val="31"/>
          <w:szCs w:val="31"/>
        </w:rPr>
        <w:t>；事业收入</w:t>
      </w:r>
      <w:r>
        <w:rPr>
          <w:rFonts w:hint="eastAsia" w:ascii="仿宋" w:hAnsi="仿宋" w:eastAsia="仿宋" w:cs="仿宋"/>
          <w:spacing w:val="1"/>
          <w:sz w:val="31"/>
          <w:szCs w:val="31"/>
          <w:lang w:val="en-US" w:eastAsia="zh-CN"/>
        </w:rPr>
        <w:t>0.00</w:t>
      </w:r>
      <w:r>
        <w:rPr>
          <w:rFonts w:ascii="仿宋" w:hAnsi="仿宋" w:eastAsia="仿宋" w:cs="仿宋"/>
          <w:spacing w:val="1"/>
          <w:sz w:val="31"/>
          <w:szCs w:val="31"/>
        </w:rPr>
        <w:t>万元， 比上</w:t>
      </w:r>
      <w:r>
        <w:rPr>
          <w:rFonts w:ascii="仿宋" w:hAnsi="仿宋" w:eastAsia="仿宋" w:cs="仿宋"/>
          <w:sz w:val="31"/>
          <w:szCs w:val="31"/>
        </w:rPr>
        <w:t>年增加</w:t>
      </w:r>
      <w:r>
        <w:rPr>
          <w:rFonts w:hint="eastAsia" w:ascii="仿宋" w:hAnsi="仿宋" w:eastAsia="仿宋" w:cs="仿宋"/>
          <w:sz w:val="31"/>
          <w:szCs w:val="31"/>
          <w:lang w:eastAsia="zh-CN"/>
        </w:rPr>
        <w:t>（</w:t>
      </w:r>
      <w:r>
        <w:rPr>
          <w:rFonts w:ascii="仿宋" w:hAnsi="仿宋" w:eastAsia="仿宋" w:cs="仿宋"/>
          <w:sz w:val="31"/>
          <w:szCs w:val="31"/>
        </w:rPr>
        <w:t>减少</w:t>
      </w:r>
      <w:r>
        <w:rPr>
          <w:rFonts w:hint="eastAsia" w:ascii="仿宋" w:hAnsi="仿宋" w:eastAsia="仿宋" w:cs="仿宋"/>
          <w:sz w:val="31"/>
          <w:szCs w:val="31"/>
          <w:lang w:eastAsia="zh-CN"/>
        </w:rPr>
        <w:t>）</w:t>
      </w:r>
      <w:r>
        <w:rPr>
          <w:rFonts w:hint="eastAsia" w:ascii="仿宋" w:hAnsi="仿宋" w:eastAsia="仿宋" w:cs="仿宋"/>
          <w:sz w:val="31"/>
          <w:szCs w:val="31"/>
          <w:lang w:val="en-US" w:eastAsia="zh-CN"/>
        </w:rPr>
        <w:t>0.00</w:t>
      </w:r>
      <w:r>
        <w:rPr>
          <w:rFonts w:ascii="仿宋" w:hAnsi="仿宋" w:eastAsia="仿宋" w:cs="仿宋"/>
          <w:sz w:val="31"/>
          <w:szCs w:val="31"/>
        </w:rPr>
        <w:t>万元，</w:t>
      </w:r>
      <w:r>
        <w:rPr>
          <w:rFonts w:ascii="仿宋" w:hAnsi="仿宋" w:eastAsia="仿宋" w:cs="仿宋"/>
          <w:spacing w:val="4"/>
          <w:sz w:val="31"/>
          <w:szCs w:val="31"/>
        </w:rPr>
        <w:t>增长</w:t>
      </w:r>
      <w:r>
        <w:rPr>
          <w:rFonts w:hint="eastAsia" w:ascii="仿宋" w:hAnsi="仿宋" w:eastAsia="仿宋" w:cs="仿宋"/>
          <w:spacing w:val="4"/>
          <w:sz w:val="31"/>
          <w:szCs w:val="31"/>
          <w:lang w:eastAsia="zh-CN"/>
        </w:rPr>
        <w:t>（</w:t>
      </w:r>
      <w:r>
        <w:rPr>
          <w:rFonts w:ascii="仿宋" w:hAnsi="仿宋" w:eastAsia="仿宋" w:cs="仿宋"/>
          <w:spacing w:val="4"/>
          <w:sz w:val="31"/>
          <w:szCs w:val="31"/>
        </w:rPr>
        <w:t>下降</w:t>
      </w:r>
      <w:r>
        <w:rPr>
          <w:rFonts w:hint="eastAsia" w:ascii="仿宋" w:hAnsi="仿宋" w:eastAsia="仿宋" w:cs="仿宋"/>
          <w:spacing w:val="4"/>
          <w:sz w:val="31"/>
          <w:szCs w:val="31"/>
          <w:lang w:eastAsia="zh-CN"/>
        </w:rPr>
        <w:t>）</w:t>
      </w:r>
      <w:r>
        <w:rPr>
          <w:rFonts w:hint="eastAsia" w:ascii="仿宋" w:hAnsi="仿宋" w:eastAsia="仿宋" w:cs="仿宋"/>
          <w:spacing w:val="4"/>
          <w:sz w:val="31"/>
          <w:szCs w:val="31"/>
          <w:lang w:val="en-US" w:eastAsia="zh-CN"/>
        </w:rPr>
        <w:t>0.00</w:t>
      </w:r>
      <w:r>
        <w:rPr>
          <w:rFonts w:ascii="宋体" w:hAnsi="宋体" w:eastAsia="宋体" w:cs="宋体"/>
          <w:spacing w:val="4"/>
          <w:sz w:val="31"/>
          <w:szCs w:val="31"/>
        </w:rPr>
        <w:t>%</w:t>
      </w:r>
      <w:r>
        <w:rPr>
          <w:rFonts w:ascii="仿宋" w:hAnsi="仿宋" w:eastAsia="仿宋" w:cs="仿宋"/>
          <w:spacing w:val="4"/>
          <w:sz w:val="31"/>
          <w:szCs w:val="31"/>
        </w:rPr>
        <w:t>，</w:t>
      </w:r>
      <w:r>
        <w:rPr>
          <w:rFonts w:ascii="仿宋" w:hAnsi="仿宋" w:eastAsia="仿宋" w:cs="仿宋"/>
          <w:spacing w:val="3"/>
          <w:sz w:val="31"/>
          <w:szCs w:val="31"/>
        </w:rPr>
        <w:t>主</w:t>
      </w:r>
      <w:r>
        <w:rPr>
          <w:rFonts w:ascii="仿宋" w:hAnsi="仿宋" w:eastAsia="仿宋" w:cs="仿宋"/>
          <w:spacing w:val="2"/>
          <w:sz w:val="31"/>
          <w:szCs w:val="31"/>
        </w:rPr>
        <w:t>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2"/>
          <w:sz w:val="31"/>
          <w:szCs w:val="31"/>
        </w:rPr>
        <w:t>；经营收入</w:t>
      </w:r>
      <w:r>
        <w:rPr>
          <w:rFonts w:hint="eastAsia" w:ascii="仿宋" w:hAnsi="仿宋" w:eastAsia="仿宋" w:cs="仿宋"/>
          <w:spacing w:val="2"/>
          <w:sz w:val="31"/>
          <w:szCs w:val="31"/>
          <w:lang w:val="en-US" w:eastAsia="zh-CN"/>
        </w:rPr>
        <w:t>0.00</w:t>
      </w:r>
      <w:r>
        <w:rPr>
          <w:rFonts w:ascii="仿宋" w:hAnsi="仿宋" w:eastAsia="仿宋" w:cs="仿宋"/>
          <w:spacing w:val="2"/>
          <w:sz w:val="31"/>
          <w:szCs w:val="31"/>
        </w:rPr>
        <w:t>万元，比上年增</w:t>
      </w:r>
      <w:r>
        <w:rPr>
          <w:rFonts w:ascii="仿宋" w:hAnsi="仿宋" w:eastAsia="仿宋" w:cs="仿宋"/>
          <w:spacing w:val="14"/>
          <w:sz w:val="31"/>
          <w:szCs w:val="31"/>
        </w:rPr>
        <w:t>加</w:t>
      </w:r>
      <w:r>
        <w:rPr>
          <w:rFonts w:hint="eastAsia" w:ascii="仿宋" w:hAnsi="仿宋" w:eastAsia="仿宋" w:cs="仿宋"/>
          <w:spacing w:val="14"/>
          <w:sz w:val="31"/>
          <w:szCs w:val="31"/>
          <w:lang w:eastAsia="zh-CN"/>
        </w:rPr>
        <w:t>（</w:t>
      </w:r>
      <w:r>
        <w:rPr>
          <w:rFonts w:ascii="仿宋" w:hAnsi="仿宋" w:eastAsia="仿宋" w:cs="仿宋"/>
          <w:spacing w:val="14"/>
          <w:sz w:val="31"/>
          <w:szCs w:val="31"/>
        </w:rPr>
        <w:t>减</w:t>
      </w:r>
      <w:r>
        <w:rPr>
          <w:rFonts w:ascii="仿宋" w:hAnsi="仿宋" w:eastAsia="仿宋" w:cs="仿宋"/>
          <w:spacing w:val="7"/>
          <w:sz w:val="31"/>
          <w:szCs w:val="31"/>
        </w:rPr>
        <w:t>少</w:t>
      </w:r>
      <w:r>
        <w:rPr>
          <w:rFonts w:hint="eastAsia" w:ascii="仿宋" w:hAnsi="仿宋" w:eastAsia="仿宋" w:cs="仿宋"/>
          <w:spacing w:val="7"/>
          <w:sz w:val="31"/>
          <w:szCs w:val="31"/>
          <w:lang w:eastAsia="zh-CN"/>
        </w:rPr>
        <w:t>）</w:t>
      </w:r>
      <w:r>
        <w:rPr>
          <w:rFonts w:hint="eastAsia" w:ascii="仿宋" w:hAnsi="仿宋" w:eastAsia="仿宋" w:cs="仿宋"/>
          <w:spacing w:val="7"/>
          <w:sz w:val="31"/>
          <w:szCs w:val="31"/>
          <w:lang w:val="en-US" w:eastAsia="zh-CN"/>
        </w:rPr>
        <w:t>0.00</w:t>
      </w:r>
      <w:r>
        <w:rPr>
          <w:rFonts w:ascii="仿宋" w:hAnsi="仿宋" w:eastAsia="仿宋" w:cs="仿宋"/>
          <w:spacing w:val="7"/>
          <w:sz w:val="31"/>
          <w:szCs w:val="31"/>
        </w:rPr>
        <w:t>万元，增长</w:t>
      </w:r>
      <w:r>
        <w:rPr>
          <w:rFonts w:hint="eastAsia" w:ascii="仿宋" w:hAnsi="仿宋" w:eastAsia="仿宋" w:cs="仿宋"/>
          <w:spacing w:val="7"/>
          <w:sz w:val="31"/>
          <w:szCs w:val="31"/>
          <w:lang w:eastAsia="zh-CN"/>
        </w:rPr>
        <w:t>（</w:t>
      </w:r>
      <w:r>
        <w:rPr>
          <w:rFonts w:ascii="仿宋" w:hAnsi="仿宋" w:eastAsia="仿宋" w:cs="仿宋"/>
          <w:spacing w:val="7"/>
          <w:sz w:val="31"/>
          <w:szCs w:val="31"/>
        </w:rPr>
        <w:t>下降</w:t>
      </w:r>
      <w:r>
        <w:rPr>
          <w:rFonts w:hint="eastAsia" w:ascii="仿宋" w:hAnsi="仿宋" w:eastAsia="仿宋" w:cs="仿宋"/>
          <w:spacing w:val="7"/>
          <w:sz w:val="31"/>
          <w:szCs w:val="31"/>
          <w:lang w:eastAsia="zh-CN"/>
        </w:rPr>
        <w:t>）</w:t>
      </w:r>
      <w:r>
        <w:rPr>
          <w:rFonts w:hint="eastAsia" w:ascii="仿宋" w:hAnsi="仿宋" w:eastAsia="仿宋" w:cs="仿宋"/>
          <w:spacing w:val="7"/>
          <w:sz w:val="31"/>
          <w:szCs w:val="31"/>
          <w:lang w:val="en-US" w:eastAsia="zh-CN"/>
        </w:rPr>
        <w:t>0.00</w:t>
      </w:r>
      <w:r>
        <w:rPr>
          <w:rFonts w:ascii="宋体" w:hAnsi="宋体" w:eastAsia="宋体" w:cs="宋体"/>
          <w:spacing w:val="7"/>
          <w:sz w:val="31"/>
          <w:szCs w:val="31"/>
        </w:rPr>
        <w:t>%</w:t>
      </w:r>
      <w:r>
        <w:rPr>
          <w:rFonts w:ascii="仿宋" w:hAnsi="仿宋" w:eastAsia="仿宋" w:cs="仿宋"/>
          <w:spacing w:val="7"/>
          <w:sz w:val="31"/>
          <w:szCs w:val="31"/>
        </w:rPr>
        <w:t>，</w:t>
      </w:r>
      <w:r>
        <w:rPr>
          <w:rFonts w:ascii="仿宋" w:hAnsi="仿宋" w:eastAsia="仿宋" w:cs="仿宋"/>
          <w:spacing w:val="3"/>
          <w:sz w:val="31"/>
          <w:szCs w:val="31"/>
        </w:rPr>
        <w:t>主</w:t>
      </w:r>
      <w:r>
        <w:rPr>
          <w:rFonts w:ascii="仿宋" w:hAnsi="仿宋" w:eastAsia="仿宋" w:cs="仿宋"/>
          <w:spacing w:val="2"/>
          <w:sz w:val="31"/>
          <w:szCs w:val="31"/>
        </w:rPr>
        <w:t>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7"/>
          <w:sz w:val="31"/>
          <w:szCs w:val="31"/>
        </w:rPr>
        <w:t>；附属单位</w:t>
      </w:r>
      <w:r>
        <w:rPr>
          <w:rFonts w:ascii="仿宋" w:hAnsi="仿宋" w:eastAsia="仿宋" w:cs="仿宋"/>
          <w:spacing w:val="1"/>
          <w:sz w:val="31"/>
          <w:szCs w:val="31"/>
        </w:rPr>
        <w:t>上缴收入</w:t>
      </w:r>
      <w:r>
        <w:rPr>
          <w:rFonts w:hint="eastAsia" w:ascii="仿宋" w:hAnsi="仿宋" w:eastAsia="仿宋" w:cs="仿宋"/>
          <w:spacing w:val="1"/>
          <w:sz w:val="31"/>
          <w:szCs w:val="31"/>
          <w:lang w:val="en-US" w:eastAsia="zh-CN"/>
        </w:rPr>
        <w:t>0.00</w:t>
      </w:r>
      <w:r>
        <w:rPr>
          <w:rFonts w:ascii="仿宋" w:hAnsi="仿宋" w:eastAsia="仿宋" w:cs="仿宋"/>
          <w:spacing w:val="1"/>
          <w:sz w:val="31"/>
          <w:szCs w:val="31"/>
        </w:rPr>
        <w:t>万元，比上年</w:t>
      </w:r>
      <w:r>
        <w:rPr>
          <w:rFonts w:ascii="仿宋" w:hAnsi="仿宋" w:eastAsia="仿宋" w:cs="仿宋"/>
          <w:sz w:val="31"/>
          <w:szCs w:val="31"/>
        </w:rPr>
        <w:t>增加</w:t>
      </w:r>
      <w:r>
        <w:rPr>
          <w:rFonts w:hint="eastAsia" w:ascii="仿宋" w:hAnsi="仿宋" w:eastAsia="仿宋" w:cs="仿宋"/>
          <w:sz w:val="31"/>
          <w:szCs w:val="31"/>
          <w:lang w:eastAsia="zh-CN"/>
        </w:rPr>
        <w:t>（</w:t>
      </w:r>
      <w:r>
        <w:rPr>
          <w:rFonts w:ascii="仿宋" w:hAnsi="仿宋" w:eastAsia="仿宋" w:cs="仿宋"/>
          <w:sz w:val="31"/>
          <w:szCs w:val="31"/>
        </w:rPr>
        <w:t>减少</w:t>
      </w:r>
      <w:r>
        <w:rPr>
          <w:rFonts w:hint="eastAsia" w:ascii="仿宋" w:hAnsi="仿宋" w:eastAsia="仿宋" w:cs="仿宋"/>
          <w:sz w:val="31"/>
          <w:szCs w:val="31"/>
          <w:lang w:eastAsia="zh-CN"/>
        </w:rPr>
        <w:t>）</w:t>
      </w:r>
      <w:r>
        <w:rPr>
          <w:rFonts w:hint="eastAsia" w:ascii="仿宋" w:hAnsi="仿宋" w:eastAsia="仿宋" w:cs="仿宋"/>
          <w:sz w:val="31"/>
          <w:szCs w:val="31"/>
          <w:lang w:val="en-US" w:eastAsia="zh-CN"/>
        </w:rPr>
        <w:t>0.00</w:t>
      </w:r>
      <w:r>
        <w:rPr>
          <w:rFonts w:ascii="仿宋" w:hAnsi="仿宋" w:eastAsia="仿宋" w:cs="仿宋"/>
          <w:sz w:val="31"/>
          <w:szCs w:val="31"/>
        </w:rPr>
        <w:t>万元，增长</w:t>
      </w:r>
      <w:r>
        <w:rPr>
          <w:rFonts w:hint="eastAsia" w:ascii="仿宋" w:hAnsi="仿宋" w:eastAsia="仿宋" w:cs="仿宋"/>
          <w:sz w:val="31"/>
          <w:szCs w:val="31"/>
          <w:lang w:eastAsia="zh-CN"/>
        </w:rPr>
        <w:t>（</w:t>
      </w:r>
      <w:r>
        <w:rPr>
          <w:rFonts w:ascii="仿宋" w:hAnsi="仿宋" w:eastAsia="仿宋" w:cs="仿宋"/>
          <w:sz w:val="31"/>
          <w:szCs w:val="31"/>
        </w:rPr>
        <w:t>下降</w:t>
      </w:r>
      <w:r>
        <w:rPr>
          <w:rFonts w:hint="eastAsia" w:ascii="仿宋" w:hAnsi="仿宋" w:eastAsia="仿宋" w:cs="仿宋"/>
          <w:sz w:val="31"/>
          <w:szCs w:val="31"/>
          <w:lang w:eastAsia="zh-CN"/>
        </w:rPr>
        <w:t>）</w:t>
      </w:r>
      <w:r>
        <w:rPr>
          <w:rFonts w:hint="eastAsia" w:ascii="仿宋" w:hAnsi="仿宋" w:eastAsia="仿宋" w:cs="仿宋"/>
          <w:sz w:val="31"/>
          <w:szCs w:val="31"/>
          <w:lang w:val="en-US" w:eastAsia="zh-CN"/>
        </w:rPr>
        <w:t>0.00</w:t>
      </w:r>
      <w:r>
        <w:rPr>
          <w:rFonts w:ascii="宋体" w:hAnsi="宋体" w:eastAsia="宋体" w:cs="宋体"/>
          <w:sz w:val="31"/>
          <w:szCs w:val="31"/>
        </w:rPr>
        <w:t>%</w:t>
      </w:r>
      <w:r>
        <w:rPr>
          <w:rFonts w:ascii="仿宋" w:hAnsi="仿宋" w:eastAsia="仿宋" w:cs="仿宋"/>
          <w:sz w:val="31"/>
          <w:szCs w:val="31"/>
        </w:rPr>
        <w:t>，</w:t>
      </w:r>
      <w:r>
        <w:rPr>
          <w:rFonts w:ascii="仿宋" w:hAnsi="仿宋" w:eastAsia="仿宋" w:cs="仿宋"/>
          <w:spacing w:val="3"/>
          <w:sz w:val="31"/>
          <w:szCs w:val="31"/>
        </w:rPr>
        <w:t>主</w:t>
      </w:r>
      <w:r>
        <w:rPr>
          <w:rFonts w:ascii="仿宋" w:hAnsi="仿宋" w:eastAsia="仿宋" w:cs="仿宋"/>
          <w:spacing w:val="2"/>
          <w:sz w:val="31"/>
          <w:szCs w:val="31"/>
        </w:rPr>
        <w:t>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1"/>
          <w:sz w:val="31"/>
          <w:szCs w:val="31"/>
        </w:rPr>
        <w:t>；其他收入</w:t>
      </w:r>
      <w:r>
        <w:rPr>
          <w:rFonts w:hint="eastAsia" w:ascii="仿宋" w:hAnsi="仿宋" w:eastAsia="仿宋" w:cs="仿宋"/>
          <w:spacing w:val="1"/>
          <w:sz w:val="31"/>
          <w:szCs w:val="31"/>
          <w:lang w:val="en-US" w:eastAsia="zh-CN"/>
        </w:rPr>
        <w:t>0.05</w:t>
      </w:r>
      <w:r>
        <w:rPr>
          <w:rFonts w:ascii="仿宋" w:hAnsi="仿宋" w:eastAsia="仿宋" w:cs="仿宋"/>
          <w:spacing w:val="1"/>
          <w:sz w:val="31"/>
          <w:szCs w:val="31"/>
        </w:rPr>
        <w:t>万元，比上</w:t>
      </w:r>
      <w:r>
        <w:rPr>
          <w:rFonts w:ascii="仿宋" w:hAnsi="仿宋" w:eastAsia="仿宋" w:cs="仿宋"/>
          <w:sz w:val="31"/>
          <w:szCs w:val="31"/>
        </w:rPr>
        <w:t>年减少</w:t>
      </w:r>
      <w:r>
        <w:rPr>
          <w:rFonts w:hint="eastAsia" w:ascii="仿宋" w:hAnsi="仿宋" w:eastAsia="仿宋" w:cs="仿宋"/>
          <w:sz w:val="31"/>
          <w:szCs w:val="31"/>
          <w:lang w:val="en-US" w:eastAsia="zh-CN"/>
        </w:rPr>
        <w:t>0.15</w:t>
      </w:r>
      <w:r>
        <w:rPr>
          <w:rFonts w:ascii="仿宋" w:hAnsi="仿宋" w:eastAsia="仿宋" w:cs="仿宋"/>
          <w:sz w:val="31"/>
          <w:szCs w:val="31"/>
        </w:rPr>
        <w:t>万元，</w:t>
      </w:r>
      <w:r>
        <w:rPr>
          <w:rFonts w:ascii="仿宋" w:hAnsi="仿宋" w:eastAsia="仿宋" w:cs="仿宋"/>
          <w:spacing w:val="7"/>
          <w:sz w:val="31"/>
          <w:szCs w:val="31"/>
        </w:rPr>
        <w:t>下降</w:t>
      </w:r>
      <w:r>
        <w:rPr>
          <w:rFonts w:hint="eastAsia" w:ascii="仿宋" w:hAnsi="仿宋" w:eastAsia="仿宋" w:cs="仿宋"/>
          <w:spacing w:val="7"/>
          <w:sz w:val="31"/>
          <w:szCs w:val="31"/>
          <w:lang w:val="en-US" w:eastAsia="zh-CN"/>
        </w:rPr>
        <w:t>75</w:t>
      </w:r>
      <w:r>
        <w:rPr>
          <w:rFonts w:ascii="宋体" w:hAnsi="宋体" w:eastAsia="宋体" w:cs="宋体"/>
          <w:spacing w:val="7"/>
          <w:sz w:val="31"/>
          <w:szCs w:val="31"/>
        </w:rPr>
        <w:t>%</w:t>
      </w:r>
      <w:r>
        <w:rPr>
          <w:rFonts w:ascii="仿宋" w:hAnsi="仿宋" w:eastAsia="仿宋" w:cs="仿宋"/>
          <w:spacing w:val="7"/>
          <w:sz w:val="31"/>
          <w:szCs w:val="31"/>
        </w:rPr>
        <w:t>，主要是</w:t>
      </w:r>
      <w:r>
        <w:rPr>
          <w:rFonts w:hint="eastAsia" w:ascii="仿宋" w:hAnsi="仿宋" w:eastAsia="仿宋" w:cs="仿宋"/>
          <w:spacing w:val="7"/>
          <w:sz w:val="31"/>
          <w:szCs w:val="31"/>
          <w:lang w:val="en-US" w:eastAsia="zh-CN"/>
        </w:rPr>
        <w:t>当年利息收入减少，同时无其他退款收入</w:t>
      </w:r>
      <w:r>
        <w:rPr>
          <w:rFonts w:ascii="仿宋" w:hAnsi="仿宋" w:eastAsia="仿宋" w:cs="仿宋"/>
          <w:spacing w:val="7"/>
          <w:sz w:val="31"/>
          <w:szCs w:val="31"/>
        </w:rPr>
        <w:t>。</w:t>
      </w:r>
    </w:p>
    <w:p w14:paraId="47ABCFA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1" w:firstLineChars="139"/>
        <w:textAlignment w:val="baseline"/>
        <w:rPr>
          <w:rFonts w:ascii="黑体" w:hAnsi="黑体" w:eastAsia="黑体" w:cs="黑体"/>
          <w:sz w:val="31"/>
          <w:szCs w:val="31"/>
        </w:rPr>
      </w:pPr>
      <w:r>
        <w:rPr>
          <w:rFonts w:ascii="黑体" w:hAnsi="黑体" w:eastAsia="黑体" w:cs="黑体"/>
          <w:spacing w:val="-7"/>
          <w:sz w:val="31"/>
          <w:szCs w:val="31"/>
        </w:rPr>
        <w:t>三、支出决算情况说</w:t>
      </w:r>
      <w:r>
        <w:rPr>
          <w:rFonts w:ascii="黑体" w:hAnsi="黑体" w:eastAsia="黑体" w:cs="黑体"/>
          <w:spacing w:val="-5"/>
          <w:sz w:val="31"/>
          <w:szCs w:val="31"/>
        </w:rPr>
        <w:t>明</w:t>
      </w:r>
    </w:p>
    <w:p w14:paraId="7F49F08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86" w:firstLineChars="139"/>
        <w:textAlignment w:val="baseline"/>
        <w:rPr>
          <w:rFonts w:ascii="仿宋" w:hAnsi="仿宋" w:eastAsia="仿宋" w:cs="仿宋"/>
          <w:sz w:val="31"/>
          <w:szCs w:val="31"/>
        </w:rPr>
      </w:pPr>
      <w:r>
        <w:rPr>
          <w:rFonts w:ascii="仿宋" w:hAnsi="仿宋" w:eastAsia="仿宋" w:cs="仿宋"/>
          <w:spacing w:val="-16"/>
          <w:sz w:val="31"/>
          <w:szCs w:val="31"/>
        </w:rPr>
        <w:t>本年</w:t>
      </w:r>
      <w:r>
        <w:rPr>
          <w:rFonts w:ascii="仿宋" w:hAnsi="仿宋" w:eastAsia="仿宋" w:cs="仿宋"/>
          <w:spacing w:val="-11"/>
          <w:sz w:val="31"/>
          <w:szCs w:val="31"/>
        </w:rPr>
        <w:t>支</w:t>
      </w:r>
      <w:r>
        <w:rPr>
          <w:rFonts w:ascii="仿宋" w:hAnsi="仿宋" w:eastAsia="仿宋" w:cs="仿宋"/>
          <w:spacing w:val="-8"/>
          <w:sz w:val="31"/>
          <w:szCs w:val="31"/>
        </w:rPr>
        <w:t>出合计</w:t>
      </w:r>
      <w:r>
        <w:rPr>
          <w:rFonts w:hint="eastAsia" w:ascii="仿宋" w:hAnsi="仿宋" w:eastAsia="仿宋" w:cs="仿宋"/>
          <w:spacing w:val="-8"/>
          <w:sz w:val="31"/>
          <w:szCs w:val="31"/>
          <w:lang w:val="en-US" w:eastAsia="zh-CN"/>
        </w:rPr>
        <w:t>937.84</w:t>
      </w:r>
      <w:r>
        <w:rPr>
          <w:rFonts w:ascii="仿宋" w:hAnsi="仿宋" w:eastAsia="仿宋" w:cs="仿宋"/>
          <w:spacing w:val="-8"/>
          <w:sz w:val="31"/>
          <w:szCs w:val="31"/>
        </w:rPr>
        <w:t>万元，其中：基本支出</w:t>
      </w:r>
      <w:r>
        <w:rPr>
          <w:rFonts w:hint="eastAsia" w:ascii="仿宋" w:hAnsi="仿宋" w:eastAsia="仿宋" w:cs="仿宋"/>
          <w:spacing w:val="-8"/>
          <w:sz w:val="31"/>
          <w:szCs w:val="31"/>
          <w:lang w:val="en-US" w:eastAsia="zh-CN"/>
        </w:rPr>
        <w:t>580.39</w:t>
      </w:r>
      <w:r>
        <w:rPr>
          <w:rFonts w:ascii="仿宋" w:hAnsi="仿宋" w:eastAsia="仿宋" w:cs="仿宋"/>
          <w:spacing w:val="-8"/>
          <w:sz w:val="31"/>
          <w:szCs w:val="31"/>
        </w:rPr>
        <w:t>万元，比上年</w:t>
      </w:r>
      <w:r>
        <w:rPr>
          <w:rFonts w:ascii="仿宋" w:hAnsi="仿宋" w:eastAsia="仿宋" w:cs="仿宋"/>
          <w:spacing w:val="8"/>
          <w:sz w:val="31"/>
          <w:szCs w:val="31"/>
        </w:rPr>
        <w:t>增加</w:t>
      </w:r>
      <w:r>
        <w:rPr>
          <w:rFonts w:hint="eastAsia" w:ascii="仿宋" w:hAnsi="仿宋" w:eastAsia="仿宋" w:cs="仿宋"/>
          <w:spacing w:val="8"/>
          <w:sz w:val="31"/>
          <w:szCs w:val="31"/>
          <w:lang w:val="en-US" w:eastAsia="zh-CN"/>
        </w:rPr>
        <w:t>14.13</w:t>
      </w:r>
      <w:r>
        <w:rPr>
          <w:rFonts w:ascii="仿宋" w:hAnsi="仿宋" w:eastAsia="仿宋" w:cs="仿宋"/>
          <w:spacing w:val="8"/>
          <w:sz w:val="31"/>
          <w:szCs w:val="31"/>
        </w:rPr>
        <w:t>万元，增长</w:t>
      </w:r>
      <w:r>
        <w:rPr>
          <w:rFonts w:hint="eastAsia" w:ascii="仿宋" w:hAnsi="仿宋" w:eastAsia="仿宋" w:cs="仿宋"/>
          <w:spacing w:val="8"/>
          <w:sz w:val="31"/>
          <w:szCs w:val="31"/>
          <w:lang w:val="en-US" w:eastAsia="zh-CN"/>
        </w:rPr>
        <w:t>2.50</w:t>
      </w:r>
      <w:r>
        <w:rPr>
          <w:rFonts w:ascii="宋体" w:hAnsi="宋体" w:eastAsia="宋体" w:cs="宋体"/>
          <w:spacing w:val="8"/>
          <w:sz w:val="31"/>
          <w:szCs w:val="31"/>
        </w:rPr>
        <w:t>%</w:t>
      </w:r>
      <w:r>
        <w:rPr>
          <w:rFonts w:ascii="仿宋" w:hAnsi="仿宋" w:eastAsia="仿宋" w:cs="仿宋"/>
          <w:spacing w:val="8"/>
          <w:sz w:val="31"/>
          <w:szCs w:val="31"/>
        </w:rPr>
        <w:t>，主要是</w:t>
      </w:r>
      <w:r>
        <w:rPr>
          <w:rFonts w:hint="eastAsia" w:ascii="仿宋" w:hAnsi="仿宋" w:eastAsia="仿宋" w:cs="仿宋"/>
          <w:spacing w:val="8"/>
          <w:sz w:val="31"/>
          <w:szCs w:val="31"/>
          <w:lang w:val="en-US" w:eastAsia="zh-CN"/>
        </w:rPr>
        <w:t>人员经费增加</w:t>
      </w:r>
      <w:r>
        <w:rPr>
          <w:rFonts w:ascii="仿宋" w:hAnsi="仿宋" w:eastAsia="仿宋" w:cs="仿宋"/>
          <w:spacing w:val="8"/>
          <w:sz w:val="31"/>
          <w:szCs w:val="31"/>
        </w:rPr>
        <w:t>；项目</w:t>
      </w:r>
      <w:r>
        <w:rPr>
          <w:rFonts w:ascii="仿宋" w:hAnsi="仿宋" w:eastAsia="仿宋" w:cs="仿宋"/>
          <w:spacing w:val="2"/>
          <w:sz w:val="31"/>
          <w:szCs w:val="31"/>
        </w:rPr>
        <w:t>支</w:t>
      </w:r>
      <w:r>
        <w:rPr>
          <w:rFonts w:ascii="仿宋" w:hAnsi="仿宋" w:eastAsia="仿宋" w:cs="仿宋"/>
          <w:spacing w:val="14"/>
          <w:sz w:val="31"/>
          <w:szCs w:val="31"/>
        </w:rPr>
        <w:t>出</w:t>
      </w:r>
      <w:r>
        <w:rPr>
          <w:rFonts w:hint="eastAsia" w:ascii="仿宋" w:hAnsi="仿宋" w:eastAsia="仿宋" w:cs="仿宋"/>
          <w:spacing w:val="14"/>
          <w:sz w:val="31"/>
          <w:szCs w:val="31"/>
          <w:lang w:val="en-US" w:eastAsia="zh-CN"/>
        </w:rPr>
        <w:t>357.44</w:t>
      </w:r>
      <w:r>
        <w:rPr>
          <w:rFonts w:ascii="仿宋" w:hAnsi="仿宋" w:eastAsia="仿宋" w:cs="仿宋"/>
          <w:spacing w:val="11"/>
          <w:sz w:val="31"/>
          <w:szCs w:val="31"/>
        </w:rPr>
        <w:t>万</w:t>
      </w:r>
      <w:r>
        <w:rPr>
          <w:rFonts w:ascii="仿宋" w:hAnsi="仿宋" w:eastAsia="仿宋" w:cs="仿宋"/>
          <w:spacing w:val="7"/>
          <w:sz w:val="31"/>
          <w:szCs w:val="31"/>
        </w:rPr>
        <w:t>元，比上年增加</w:t>
      </w:r>
      <w:r>
        <w:rPr>
          <w:rFonts w:hint="eastAsia" w:ascii="仿宋" w:hAnsi="仿宋" w:eastAsia="仿宋" w:cs="仿宋"/>
          <w:spacing w:val="7"/>
          <w:sz w:val="31"/>
          <w:szCs w:val="31"/>
          <w:lang w:val="en-US" w:eastAsia="zh-CN"/>
        </w:rPr>
        <w:t>245.05</w:t>
      </w:r>
      <w:r>
        <w:rPr>
          <w:rFonts w:ascii="仿宋" w:hAnsi="仿宋" w:eastAsia="仿宋" w:cs="仿宋"/>
          <w:spacing w:val="7"/>
          <w:sz w:val="31"/>
          <w:szCs w:val="31"/>
        </w:rPr>
        <w:t>万元，增长</w:t>
      </w:r>
      <w:r>
        <w:rPr>
          <w:rFonts w:hint="eastAsia" w:ascii="仿宋" w:hAnsi="仿宋" w:eastAsia="仿宋" w:cs="仿宋"/>
          <w:spacing w:val="7"/>
          <w:sz w:val="31"/>
          <w:szCs w:val="31"/>
          <w:lang w:val="en-US" w:eastAsia="zh-CN"/>
        </w:rPr>
        <w:t>218.04</w:t>
      </w:r>
      <w:r>
        <w:rPr>
          <w:rFonts w:ascii="宋体" w:hAnsi="宋体" w:eastAsia="宋体" w:cs="宋体"/>
          <w:spacing w:val="7"/>
          <w:sz w:val="31"/>
          <w:szCs w:val="31"/>
        </w:rPr>
        <w:t>%</w:t>
      </w:r>
      <w:r>
        <w:rPr>
          <w:rFonts w:ascii="仿宋" w:hAnsi="仿宋" w:eastAsia="仿宋" w:cs="仿宋"/>
          <w:spacing w:val="7"/>
          <w:sz w:val="31"/>
          <w:szCs w:val="31"/>
        </w:rPr>
        <w:t>，主</w:t>
      </w:r>
      <w:r>
        <w:rPr>
          <w:rFonts w:ascii="仿宋" w:hAnsi="仿宋" w:eastAsia="仿宋" w:cs="仿宋"/>
          <w:spacing w:val="-8"/>
          <w:sz w:val="31"/>
          <w:szCs w:val="31"/>
        </w:rPr>
        <w:t>要是</w:t>
      </w:r>
      <w:r>
        <w:rPr>
          <w:rFonts w:hint="eastAsia" w:ascii="仿宋" w:hAnsi="仿宋" w:eastAsia="仿宋" w:cs="仿宋"/>
          <w:spacing w:val="-8"/>
          <w:sz w:val="31"/>
          <w:szCs w:val="31"/>
          <w:lang w:val="en-US" w:eastAsia="zh-CN"/>
        </w:rPr>
        <w:t>当年党建经费增加</w:t>
      </w:r>
      <w:r>
        <w:rPr>
          <w:rFonts w:ascii="仿宋" w:hAnsi="仿宋" w:eastAsia="仿宋" w:cs="仿宋"/>
          <w:spacing w:val="-4"/>
          <w:sz w:val="31"/>
          <w:szCs w:val="31"/>
        </w:rPr>
        <w:t>；上缴上级支出</w:t>
      </w:r>
      <w:r>
        <w:rPr>
          <w:rFonts w:hint="eastAsia" w:ascii="仿宋" w:hAnsi="仿宋" w:eastAsia="仿宋" w:cs="仿宋"/>
          <w:spacing w:val="-4"/>
          <w:sz w:val="31"/>
          <w:szCs w:val="31"/>
          <w:lang w:val="en-US" w:eastAsia="zh-CN"/>
        </w:rPr>
        <w:t>0.00</w:t>
      </w:r>
      <w:r>
        <w:rPr>
          <w:rFonts w:ascii="仿宋" w:hAnsi="仿宋" w:eastAsia="仿宋" w:cs="仿宋"/>
          <w:spacing w:val="-4"/>
          <w:sz w:val="31"/>
          <w:szCs w:val="31"/>
        </w:rPr>
        <w:t>万元，比上年增加</w:t>
      </w:r>
      <w:r>
        <w:rPr>
          <w:rFonts w:hint="eastAsia" w:ascii="仿宋" w:hAnsi="仿宋" w:eastAsia="仿宋" w:cs="仿宋"/>
          <w:spacing w:val="-4"/>
          <w:sz w:val="31"/>
          <w:szCs w:val="31"/>
          <w:lang w:eastAsia="zh-CN"/>
        </w:rPr>
        <w:t>（</w:t>
      </w:r>
      <w:r>
        <w:rPr>
          <w:rFonts w:ascii="仿宋" w:hAnsi="仿宋" w:eastAsia="仿宋" w:cs="仿宋"/>
          <w:spacing w:val="-4"/>
          <w:sz w:val="31"/>
          <w:szCs w:val="31"/>
        </w:rPr>
        <w:t>减少</w:t>
      </w:r>
      <w:r>
        <w:rPr>
          <w:rFonts w:hint="eastAsia" w:ascii="仿宋" w:hAnsi="仿宋" w:eastAsia="仿宋" w:cs="仿宋"/>
          <w:spacing w:val="-4"/>
          <w:sz w:val="31"/>
          <w:szCs w:val="31"/>
          <w:lang w:eastAsia="zh-CN"/>
        </w:rPr>
        <w:t>）</w:t>
      </w:r>
      <w:r>
        <w:rPr>
          <w:rFonts w:ascii="仿宋" w:hAnsi="仿宋" w:eastAsia="仿宋" w:cs="仿宋"/>
          <w:spacing w:val="-4"/>
          <w:sz w:val="31"/>
          <w:szCs w:val="31"/>
        </w:rPr>
        <w:t xml:space="preserve"> </w:t>
      </w:r>
      <w:r>
        <w:rPr>
          <w:rFonts w:hint="eastAsia" w:ascii="仿宋" w:hAnsi="仿宋" w:eastAsia="仿宋" w:cs="仿宋"/>
          <w:spacing w:val="-4"/>
          <w:sz w:val="31"/>
          <w:szCs w:val="31"/>
          <w:lang w:val="en-US" w:eastAsia="zh-CN"/>
        </w:rPr>
        <w:t>0.00</w:t>
      </w:r>
      <w:r>
        <w:rPr>
          <w:rFonts w:ascii="仿宋" w:hAnsi="仿宋" w:eastAsia="仿宋" w:cs="仿宋"/>
          <w:spacing w:val="-4"/>
          <w:sz w:val="31"/>
          <w:szCs w:val="31"/>
        </w:rPr>
        <w:t>万元，增长</w:t>
      </w:r>
      <w:r>
        <w:rPr>
          <w:rFonts w:hint="eastAsia" w:ascii="仿宋" w:hAnsi="仿宋" w:eastAsia="仿宋" w:cs="仿宋"/>
          <w:spacing w:val="-4"/>
          <w:sz w:val="31"/>
          <w:szCs w:val="31"/>
          <w:lang w:eastAsia="zh-CN"/>
        </w:rPr>
        <w:t>（</w:t>
      </w:r>
      <w:r>
        <w:rPr>
          <w:rFonts w:ascii="仿宋" w:hAnsi="仿宋" w:eastAsia="仿宋" w:cs="仿宋"/>
          <w:spacing w:val="-2"/>
          <w:sz w:val="31"/>
          <w:szCs w:val="31"/>
        </w:rPr>
        <w:t>下降</w:t>
      </w:r>
      <w:r>
        <w:rPr>
          <w:rFonts w:hint="eastAsia" w:ascii="仿宋" w:hAnsi="仿宋" w:eastAsia="仿宋" w:cs="仿宋"/>
          <w:spacing w:val="-2"/>
          <w:sz w:val="31"/>
          <w:szCs w:val="31"/>
          <w:lang w:eastAsia="zh-CN"/>
        </w:rPr>
        <w:t>）</w:t>
      </w:r>
      <w:r>
        <w:rPr>
          <w:rFonts w:hint="eastAsia" w:ascii="仿宋" w:hAnsi="仿宋" w:eastAsia="仿宋" w:cs="仿宋"/>
          <w:spacing w:val="-2"/>
          <w:sz w:val="31"/>
          <w:szCs w:val="31"/>
          <w:lang w:val="en-US" w:eastAsia="zh-CN"/>
        </w:rPr>
        <w:t>0.00</w:t>
      </w:r>
      <w:r>
        <w:rPr>
          <w:rFonts w:ascii="宋体" w:hAnsi="宋体" w:eastAsia="宋体" w:cs="宋体"/>
          <w:spacing w:val="-2"/>
          <w:sz w:val="31"/>
          <w:szCs w:val="31"/>
        </w:rPr>
        <w:t>%</w:t>
      </w:r>
      <w:r>
        <w:rPr>
          <w:rFonts w:ascii="仿宋" w:hAnsi="仿宋" w:eastAsia="仿宋" w:cs="仿宋"/>
          <w:spacing w:val="-2"/>
          <w:sz w:val="31"/>
          <w:szCs w:val="31"/>
        </w:rPr>
        <w:t>，主要是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2"/>
          <w:sz w:val="31"/>
          <w:szCs w:val="31"/>
        </w:rPr>
        <w:t>；经营支出</w:t>
      </w:r>
      <w:r>
        <w:rPr>
          <w:rFonts w:hint="eastAsia" w:ascii="仿宋" w:hAnsi="仿宋" w:eastAsia="仿宋" w:cs="仿宋"/>
          <w:spacing w:val="-2"/>
          <w:sz w:val="31"/>
          <w:szCs w:val="31"/>
          <w:lang w:val="en-US" w:eastAsia="zh-CN"/>
        </w:rPr>
        <w:t>0.00</w:t>
      </w:r>
      <w:r>
        <w:rPr>
          <w:rFonts w:ascii="仿宋" w:hAnsi="仿宋" w:eastAsia="仿宋" w:cs="仿宋"/>
          <w:spacing w:val="-2"/>
          <w:sz w:val="31"/>
          <w:szCs w:val="31"/>
        </w:rPr>
        <w:t>万元，比上年增</w:t>
      </w:r>
      <w:r>
        <w:rPr>
          <w:rFonts w:ascii="仿宋" w:hAnsi="仿宋" w:eastAsia="仿宋" w:cs="仿宋"/>
          <w:spacing w:val="14"/>
          <w:sz w:val="31"/>
          <w:szCs w:val="31"/>
        </w:rPr>
        <w:t>加</w:t>
      </w:r>
      <w:r>
        <w:rPr>
          <w:rFonts w:hint="eastAsia" w:ascii="仿宋" w:hAnsi="仿宋" w:eastAsia="仿宋" w:cs="仿宋"/>
          <w:spacing w:val="14"/>
          <w:sz w:val="31"/>
          <w:szCs w:val="31"/>
          <w:lang w:eastAsia="zh-CN"/>
        </w:rPr>
        <w:t>（</w:t>
      </w:r>
      <w:r>
        <w:rPr>
          <w:rFonts w:ascii="仿宋" w:hAnsi="仿宋" w:eastAsia="仿宋" w:cs="仿宋"/>
          <w:spacing w:val="14"/>
          <w:sz w:val="31"/>
          <w:szCs w:val="31"/>
        </w:rPr>
        <w:t>减</w:t>
      </w:r>
      <w:r>
        <w:rPr>
          <w:rFonts w:ascii="仿宋" w:hAnsi="仿宋" w:eastAsia="仿宋" w:cs="仿宋"/>
          <w:spacing w:val="8"/>
          <w:sz w:val="31"/>
          <w:szCs w:val="31"/>
        </w:rPr>
        <w:t>少</w:t>
      </w:r>
      <w:r>
        <w:rPr>
          <w:rFonts w:hint="eastAsia" w:ascii="仿宋" w:hAnsi="仿宋" w:eastAsia="仿宋" w:cs="仿宋"/>
          <w:spacing w:val="8"/>
          <w:sz w:val="31"/>
          <w:szCs w:val="31"/>
          <w:lang w:eastAsia="zh-CN"/>
        </w:rPr>
        <w:t>）</w:t>
      </w:r>
      <w:r>
        <w:rPr>
          <w:rFonts w:hint="eastAsia" w:ascii="仿宋" w:hAnsi="仿宋" w:eastAsia="仿宋" w:cs="仿宋"/>
          <w:spacing w:val="7"/>
          <w:sz w:val="31"/>
          <w:szCs w:val="31"/>
          <w:lang w:val="en-US" w:eastAsia="zh-CN"/>
        </w:rPr>
        <w:t>0.00</w:t>
      </w:r>
      <w:r>
        <w:rPr>
          <w:rFonts w:ascii="仿宋" w:hAnsi="仿宋" w:eastAsia="仿宋" w:cs="仿宋"/>
          <w:spacing w:val="7"/>
          <w:sz w:val="31"/>
          <w:szCs w:val="31"/>
        </w:rPr>
        <w:t>万元，增长</w:t>
      </w:r>
      <w:r>
        <w:rPr>
          <w:rFonts w:hint="eastAsia" w:ascii="仿宋" w:hAnsi="仿宋" w:eastAsia="仿宋" w:cs="仿宋"/>
          <w:spacing w:val="7"/>
          <w:sz w:val="31"/>
          <w:szCs w:val="31"/>
          <w:lang w:eastAsia="zh-CN"/>
        </w:rPr>
        <w:t>（</w:t>
      </w:r>
      <w:r>
        <w:rPr>
          <w:rFonts w:ascii="仿宋" w:hAnsi="仿宋" w:eastAsia="仿宋" w:cs="仿宋"/>
          <w:spacing w:val="7"/>
          <w:sz w:val="31"/>
          <w:szCs w:val="31"/>
        </w:rPr>
        <w:t>下降</w:t>
      </w:r>
      <w:r>
        <w:rPr>
          <w:rFonts w:hint="eastAsia" w:ascii="仿宋" w:hAnsi="仿宋" w:eastAsia="仿宋" w:cs="仿宋"/>
          <w:spacing w:val="7"/>
          <w:sz w:val="31"/>
          <w:szCs w:val="31"/>
          <w:lang w:eastAsia="zh-CN"/>
        </w:rPr>
        <w:t>）</w:t>
      </w:r>
      <w:r>
        <w:rPr>
          <w:rFonts w:hint="eastAsia" w:ascii="仿宋" w:hAnsi="仿宋" w:eastAsia="仿宋" w:cs="仿宋"/>
          <w:spacing w:val="7"/>
          <w:sz w:val="31"/>
          <w:szCs w:val="31"/>
          <w:lang w:val="en-US" w:eastAsia="zh-CN"/>
        </w:rPr>
        <w:t>0.00</w:t>
      </w:r>
      <w:r>
        <w:rPr>
          <w:rFonts w:ascii="宋体" w:hAnsi="宋体" w:eastAsia="宋体" w:cs="宋体"/>
          <w:spacing w:val="7"/>
          <w:sz w:val="31"/>
          <w:szCs w:val="31"/>
        </w:rPr>
        <w:t>%</w:t>
      </w:r>
      <w:r>
        <w:rPr>
          <w:rFonts w:ascii="仿宋" w:hAnsi="仿宋" w:eastAsia="仿宋" w:cs="仿宋"/>
          <w:spacing w:val="7"/>
          <w:sz w:val="31"/>
          <w:szCs w:val="31"/>
        </w:rPr>
        <w:t>，主要是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7"/>
          <w:sz w:val="31"/>
          <w:szCs w:val="31"/>
        </w:rPr>
        <w:t>；对附属单</w:t>
      </w:r>
      <w:r>
        <w:rPr>
          <w:rFonts w:ascii="仿宋" w:hAnsi="仿宋" w:eastAsia="仿宋" w:cs="仿宋"/>
          <w:spacing w:val="1"/>
          <w:sz w:val="31"/>
          <w:szCs w:val="31"/>
        </w:rPr>
        <w:t xml:space="preserve">位补助支出 </w:t>
      </w:r>
      <w:r>
        <w:rPr>
          <w:rFonts w:hint="eastAsia" w:ascii="仿宋" w:hAnsi="仿宋" w:eastAsia="仿宋" w:cs="仿宋"/>
          <w:spacing w:val="1"/>
          <w:sz w:val="31"/>
          <w:szCs w:val="31"/>
          <w:lang w:val="en-US" w:eastAsia="zh-CN"/>
        </w:rPr>
        <w:t>0.00</w:t>
      </w:r>
      <w:r>
        <w:rPr>
          <w:rFonts w:ascii="仿宋" w:hAnsi="仿宋" w:eastAsia="仿宋" w:cs="仿宋"/>
          <w:spacing w:val="1"/>
          <w:sz w:val="31"/>
          <w:szCs w:val="31"/>
        </w:rPr>
        <w:t>万元，比上年增</w:t>
      </w:r>
      <w:r>
        <w:rPr>
          <w:rFonts w:ascii="仿宋" w:hAnsi="仿宋" w:eastAsia="仿宋" w:cs="仿宋"/>
          <w:sz w:val="31"/>
          <w:szCs w:val="31"/>
        </w:rPr>
        <w:t>加</w:t>
      </w:r>
      <w:r>
        <w:rPr>
          <w:rFonts w:hint="eastAsia" w:ascii="仿宋" w:hAnsi="仿宋" w:eastAsia="仿宋" w:cs="仿宋"/>
          <w:sz w:val="31"/>
          <w:szCs w:val="31"/>
          <w:lang w:eastAsia="zh-CN"/>
        </w:rPr>
        <w:t>（</w:t>
      </w:r>
      <w:r>
        <w:rPr>
          <w:rFonts w:ascii="仿宋" w:hAnsi="仿宋" w:eastAsia="仿宋" w:cs="仿宋"/>
          <w:sz w:val="31"/>
          <w:szCs w:val="31"/>
        </w:rPr>
        <w:t>减少</w:t>
      </w:r>
      <w:r>
        <w:rPr>
          <w:rFonts w:hint="eastAsia" w:ascii="仿宋" w:hAnsi="仿宋" w:eastAsia="仿宋" w:cs="仿宋"/>
          <w:sz w:val="31"/>
          <w:szCs w:val="31"/>
          <w:lang w:eastAsia="zh-CN"/>
        </w:rPr>
        <w:t>）</w:t>
      </w:r>
      <w:r>
        <w:rPr>
          <w:rFonts w:ascii="仿宋" w:hAnsi="仿宋" w:eastAsia="仿宋" w:cs="仿宋"/>
          <w:sz w:val="31"/>
          <w:szCs w:val="31"/>
        </w:rPr>
        <w:t>万元</w:t>
      </w:r>
      <w:r>
        <w:rPr>
          <w:rFonts w:hint="eastAsia" w:ascii="仿宋" w:hAnsi="仿宋" w:eastAsia="仿宋" w:cs="仿宋"/>
          <w:sz w:val="31"/>
          <w:szCs w:val="31"/>
          <w:lang w:val="en-US" w:eastAsia="zh-CN"/>
        </w:rPr>
        <w:t>0.00</w:t>
      </w:r>
      <w:r>
        <w:rPr>
          <w:rFonts w:ascii="仿宋" w:hAnsi="仿宋" w:eastAsia="仿宋" w:cs="仿宋"/>
          <w:sz w:val="31"/>
          <w:szCs w:val="31"/>
        </w:rPr>
        <w:t>，增长</w:t>
      </w:r>
      <w:r>
        <w:rPr>
          <w:rFonts w:hint="eastAsia" w:ascii="仿宋" w:hAnsi="仿宋" w:eastAsia="仿宋" w:cs="仿宋"/>
          <w:sz w:val="31"/>
          <w:szCs w:val="31"/>
          <w:lang w:eastAsia="zh-CN"/>
        </w:rPr>
        <w:t>（</w:t>
      </w:r>
      <w:r>
        <w:rPr>
          <w:rFonts w:ascii="仿宋" w:hAnsi="仿宋" w:eastAsia="仿宋" w:cs="仿宋"/>
          <w:sz w:val="31"/>
          <w:szCs w:val="31"/>
        </w:rPr>
        <w:t>下降</w:t>
      </w:r>
      <w:r>
        <w:rPr>
          <w:rFonts w:hint="eastAsia" w:ascii="仿宋" w:hAnsi="仿宋" w:eastAsia="仿宋" w:cs="仿宋"/>
          <w:sz w:val="31"/>
          <w:szCs w:val="31"/>
          <w:lang w:eastAsia="zh-CN"/>
        </w:rPr>
        <w:t>）</w:t>
      </w:r>
      <w:r>
        <w:rPr>
          <w:rFonts w:hint="eastAsia" w:ascii="仿宋" w:hAnsi="仿宋" w:eastAsia="仿宋" w:cs="仿宋"/>
          <w:sz w:val="31"/>
          <w:szCs w:val="31"/>
          <w:lang w:val="en-US" w:eastAsia="zh-CN"/>
        </w:rPr>
        <w:t>0.00</w:t>
      </w:r>
      <w:r>
        <w:rPr>
          <w:rFonts w:ascii="宋体" w:hAnsi="宋体" w:eastAsia="宋体" w:cs="宋体"/>
          <w:sz w:val="31"/>
          <w:szCs w:val="31"/>
        </w:rPr>
        <w:t>%</w:t>
      </w:r>
      <w:r>
        <w:rPr>
          <w:rFonts w:ascii="仿宋" w:hAnsi="仿宋" w:eastAsia="仿宋" w:cs="仿宋"/>
          <w:sz w:val="31"/>
          <w:szCs w:val="31"/>
        </w:rPr>
        <w:t>，</w:t>
      </w:r>
      <w:r>
        <w:rPr>
          <w:rFonts w:ascii="仿宋" w:hAnsi="仿宋" w:eastAsia="仿宋" w:cs="仿宋"/>
          <w:spacing w:val="-16"/>
          <w:sz w:val="31"/>
          <w:szCs w:val="31"/>
        </w:rPr>
        <w:t>主要是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16"/>
          <w:sz w:val="31"/>
          <w:szCs w:val="31"/>
        </w:rPr>
        <w:t>。</w:t>
      </w:r>
    </w:p>
    <w:p w14:paraId="3185416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8" w:firstLineChars="139"/>
        <w:textAlignment w:val="baseline"/>
        <w:rPr>
          <w:rFonts w:ascii="黑体" w:hAnsi="黑体" w:eastAsia="黑体" w:cs="黑体"/>
          <w:sz w:val="31"/>
          <w:szCs w:val="31"/>
        </w:rPr>
      </w:pPr>
      <w:r>
        <w:rPr>
          <w:rFonts w:ascii="黑体" w:hAnsi="黑体" w:eastAsia="黑体" w:cs="黑体"/>
          <w:spacing w:val="-1"/>
          <w:sz w:val="31"/>
          <w:szCs w:val="31"/>
        </w:rPr>
        <w:t>四、财政拨款收入支</w:t>
      </w:r>
      <w:r>
        <w:rPr>
          <w:rFonts w:ascii="黑体" w:hAnsi="黑体" w:eastAsia="黑体" w:cs="黑体"/>
          <w:sz w:val="31"/>
          <w:szCs w:val="31"/>
        </w:rPr>
        <w:t>出决算总体情况说明</w:t>
      </w:r>
    </w:p>
    <w:p w14:paraId="5C8932D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hint="eastAsia" w:ascii="仿宋" w:hAnsi="仿宋" w:eastAsia="宋体" w:cs="仿宋"/>
          <w:sz w:val="31"/>
          <w:szCs w:val="31"/>
          <w:lang w:val="en-US" w:eastAsia="zh-CN"/>
        </w:rPr>
      </w:pPr>
      <w:r>
        <w:rPr>
          <w:rFonts w:ascii="宋体" w:hAnsi="宋体" w:eastAsia="宋体" w:cs="宋体"/>
          <w:spacing w:val="2"/>
          <w:sz w:val="31"/>
          <w:szCs w:val="31"/>
        </w:rPr>
        <w:t>2023</w:t>
      </w:r>
      <w:r>
        <w:rPr>
          <w:rFonts w:ascii="仿宋" w:hAnsi="仿宋" w:eastAsia="仿宋" w:cs="仿宋"/>
          <w:spacing w:val="2"/>
          <w:sz w:val="31"/>
          <w:szCs w:val="31"/>
        </w:rPr>
        <w:t>年度财政拨款收、支总计均为</w:t>
      </w:r>
      <w:r>
        <w:rPr>
          <w:rFonts w:hint="eastAsia" w:ascii="仿宋" w:hAnsi="仿宋" w:eastAsia="仿宋" w:cs="仿宋"/>
          <w:spacing w:val="2"/>
          <w:sz w:val="31"/>
          <w:szCs w:val="31"/>
          <w:lang w:val="en-US" w:eastAsia="zh-CN"/>
        </w:rPr>
        <w:t>937.35万元、937.47</w:t>
      </w:r>
      <w:r>
        <w:rPr>
          <w:rFonts w:ascii="仿宋" w:hAnsi="仿宋" w:eastAsia="仿宋" w:cs="仿宋"/>
          <w:spacing w:val="2"/>
          <w:sz w:val="31"/>
          <w:szCs w:val="31"/>
        </w:rPr>
        <w:t>万元</w:t>
      </w:r>
      <w:r>
        <w:rPr>
          <w:rFonts w:ascii="仿宋" w:hAnsi="仿宋" w:eastAsia="仿宋" w:cs="仿宋"/>
          <w:spacing w:val="1"/>
          <w:sz w:val="31"/>
          <w:szCs w:val="31"/>
        </w:rPr>
        <w:t>，与</w:t>
      </w:r>
      <w:r>
        <w:rPr>
          <w:rFonts w:ascii="宋体" w:hAnsi="宋体" w:eastAsia="宋体" w:cs="宋体"/>
          <w:spacing w:val="1"/>
          <w:sz w:val="31"/>
          <w:szCs w:val="31"/>
        </w:rPr>
        <w:t>2022</w:t>
      </w:r>
      <w:r>
        <w:rPr>
          <w:rFonts w:ascii="仿宋" w:hAnsi="仿宋" w:eastAsia="仿宋" w:cs="仿宋"/>
          <w:spacing w:val="1"/>
          <w:sz w:val="31"/>
          <w:szCs w:val="31"/>
        </w:rPr>
        <w:t>年</w:t>
      </w:r>
      <w:r>
        <w:rPr>
          <w:rFonts w:ascii="仿宋" w:hAnsi="仿宋" w:eastAsia="仿宋" w:cs="仿宋"/>
          <w:spacing w:val="-4"/>
          <w:sz w:val="31"/>
          <w:szCs w:val="31"/>
        </w:rPr>
        <w:t>相</w:t>
      </w:r>
      <w:r>
        <w:rPr>
          <w:rFonts w:ascii="仿宋" w:hAnsi="仿宋" w:eastAsia="仿宋" w:cs="仿宋"/>
          <w:spacing w:val="-3"/>
          <w:sz w:val="31"/>
          <w:szCs w:val="31"/>
        </w:rPr>
        <w:t>比，财政拨款收、支总计各增加</w:t>
      </w:r>
      <w:r>
        <w:rPr>
          <w:rFonts w:hint="eastAsia" w:ascii="仿宋" w:hAnsi="仿宋" w:eastAsia="仿宋" w:cs="仿宋"/>
          <w:spacing w:val="-3"/>
          <w:sz w:val="31"/>
          <w:szCs w:val="31"/>
          <w:lang w:val="en-US" w:eastAsia="zh-CN"/>
        </w:rPr>
        <w:t>370.74万元、370.86</w:t>
      </w:r>
      <w:r>
        <w:rPr>
          <w:rFonts w:ascii="仿宋" w:hAnsi="仿宋" w:eastAsia="仿宋" w:cs="仿宋"/>
          <w:spacing w:val="-3"/>
          <w:sz w:val="31"/>
          <w:szCs w:val="31"/>
        </w:rPr>
        <w:t>万元，增长</w:t>
      </w:r>
      <w:r>
        <w:rPr>
          <w:rFonts w:hint="eastAsia" w:ascii="仿宋" w:hAnsi="仿宋" w:eastAsia="仿宋" w:cs="仿宋"/>
          <w:spacing w:val="-3"/>
          <w:sz w:val="31"/>
          <w:szCs w:val="31"/>
          <w:lang w:val="en-US" w:eastAsia="zh-CN"/>
        </w:rPr>
        <w:t>65.43</w:t>
      </w:r>
      <w:r>
        <w:rPr>
          <w:rFonts w:ascii="宋体" w:hAnsi="宋体" w:eastAsia="宋体" w:cs="宋体"/>
          <w:spacing w:val="-13"/>
          <w:sz w:val="31"/>
          <w:szCs w:val="31"/>
        </w:rPr>
        <w:t>%</w:t>
      </w:r>
      <w:r>
        <w:rPr>
          <w:rFonts w:hint="eastAsia" w:ascii="宋体" w:hAnsi="宋体" w:eastAsia="宋体" w:cs="宋体"/>
          <w:spacing w:val="-13"/>
          <w:sz w:val="31"/>
          <w:szCs w:val="31"/>
          <w:lang w:eastAsia="zh-CN"/>
        </w:rPr>
        <w:t>、</w:t>
      </w:r>
      <w:r>
        <w:rPr>
          <w:rFonts w:hint="eastAsia" w:ascii="宋体" w:hAnsi="宋体" w:eastAsia="宋体" w:cs="宋体"/>
          <w:spacing w:val="-13"/>
          <w:sz w:val="31"/>
          <w:szCs w:val="31"/>
          <w:lang w:val="en-US" w:eastAsia="zh-CN"/>
        </w:rPr>
        <w:t>65.45%</w:t>
      </w:r>
      <w:r>
        <w:rPr>
          <w:rFonts w:ascii="仿宋" w:hAnsi="仿宋" w:eastAsia="仿宋" w:cs="仿宋"/>
          <w:spacing w:val="-13"/>
          <w:sz w:val="31"/>
          <w:szCs w:val="31"/>
        </w:rPr>
        <w:t>。主要原因</w:t>
      </w:r>
      <w:r>
        <w:rPr>
          <w:rFonts w:hint="eastAsia" w:ascii="仿宋" w:hAnsi="仿宋" w:eastAsia="仿宋" w:cs="仿宋"/>
          <w:spacing w:val="-13"/>
          <w:sz w:val="31"/>
          <w:szCs w:val="31"/>
          <w:lang w:eastAsia="zh-CN"/>
        </w:rPr>
        <w:t>：</w:t>
      </w:r>
      <w:r>
        <w:rPr>
          <w:rFonts w:ascii="宋体" w:hAnsi="宋体" w:eastAsia="宋体" w:cs="宋体"/>
          <w:spacing w:val="-13"/>
          <w:sz w:val="31"/>
          <w:szCs w:val="31"/>
        </w:rPr>
        <w:t xml:space="preserve"> </w:t>
      </w:r>
      <w:r>
        <w:rPr>
          <w:rFonts w:hint="eastAsia" w:ascii="仿宋" w:hAnsi="仿宋" w:eastAsia="仿宋" w:cs="仿宋"/>
          <w:spacing w:val="-13"/>
          <w:sz w:val="31"/>
          <w:szCs w:val="31"/>
          <w:lang w:val="en-US" w:eastAsia="zh-CN"/>
        </w:rPr>
        <w:t>人员经费和项目经费增加。</w:t>
      </w:r>
    </w:p>
    <w:p w14:paraId="29FD4C9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3" w:firstLineChars="139"/>
        <w:textAlignment w:val="baseline"/>
        <w:rPr>
          <w:rFonts w:ascii="黑体" w:hAnsi="黑体" w:eastAsia="黑体" w:cs="黑体"/>
          <w:sz w:val="31"/>
          <w:szCs w:val="31"/>
        </w:rPr>
      </w:pPr>
      <w:r>
        <w:rPr>
          <w:rFonts w:ascii="黑体" w:hAnsi="黑体" w:eastAsia="黑体" w:cs="黑体"/>
          <w:spacing w:val="1"/>
          <w:sz w:val="31"/>
          <w:szCs w:val="31"/>
        </w:rPr>
        <w:t>五、一般公共预算财政拨款支出决算情况</w:t>
      </w:r>
      <w:r>
        <w:rPr>
          <w:rFonts w:ascii="黑体" w:hAnsi="黑体" w:eastAsia="黑体" w:cs="黑体"/>
          <w:sz w:val="31"/>
          <w:szCs w:val="31"/>
        </w:rPr>
        <w:t>说明</w:t>
      </w:r>
    </w:p>
    <w:p w14:paraId="355015C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139"/>
        <w:textAlignment w:val="baseline"/>
        <w:rPr>
          <w:rFonts w:ascii="仿宋" w:hAnsi="仿宋" w:eastAsia="仿宋" w:cs="仿宋"/>
          <w:sz w:val="31"/>
          <w:szCs w:val="31"/>
        </w:rPr>
      </w:pPr>
      <w:r>
        <w:rPr>
          <w:rFonts w:hint="eastAsia" w:ascii="仿宋" w:hAnsi="仿宋" w:eastAsia="仿宋" w:cs="仿宋"/>
          <w:spacing w:val="28"/>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17"/>
          <w:sz w:val="31"/>
          <w:szCs w:val="31"/>
          <w14:textOutline w14:w="5791" w14:cap="flat" w14:cmpd="sng">
            <w14:solidFill>
              <w14:srgbClr w14:val="000000"/>
            </w14:solidFill>
            <w14:prstDash w14:val="solid"/>
            <w14:miter w14:val="0"/>
          </w14:textOutline>
        </w:rPr>
        <w:t>一</w:t>
      </w:r>
      <w:r>
        <w:rPr>
          <w:rFonts w:hint="eastAsia" w:ascii="仿宋" w:hAnsi="仿宋" w:eastAsia="仿宋" w:cs="仿宋"/>
          <w:spacing w:val="17"/>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17"/>
          <w:sz w:val="31"/>
          <w:szCs w:val="31"/>
        </w:rPr>
        <w:t xml:space="preserve"> </w:t>
      </w:r>
      <w:r>
        <w:rPr>
          <w:rFonts w:ascii="仿宋" w:hAnsi="仿宋" w:eastAsia="仿宋" w:cs="仿宋"/>
          <w:spacing w:val="17"/>
          <w:sz w:val="31"/>
          <w:szCs w:val="31"/>
          <w14:textOutline w14:w="5791" w14:cap="flat" w14:cmpd="sng">
            <w14:solidFill>
              <w14:srgbClr w14:val="000000"/>
            </w14:solidFill>
            <w14:prstDash w14:val="solid"/>
            <w14:miter w14:val="0"/>
          </w14:textOutline>
        </w:rPr>
        <w:t>一般公共预算财政拨款支出决算总体情况</w:t>
      </w:r>
    </w:p>
    <w:p w14:paraId="631F92E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4" w:firstLineChars="139"/>
        <w:textAlignment w:val="baseline"/>
        <w:rPr>
          <w:rFonts w:hint="default" w:ascii="仿宋" w:hAnsi="仿宋" w:eastAsia="仿宋" w:cs="仿宋"/>
          <w:sz w:val="31"/>
          <w:szCs w:val="31"/>
          <w:lang w:val="en-US" w:eastAsia="zh-CN"/>
        </w:rPr>
      </w:pPr>
      <w:r>
        <w:rPr>
          <w:rFonts w:ascii="宋体" w:hAnsi="宋体" w:eastAsia="宋体" w:cs="宋体"/>
          <w:spacing w:val="-6"/>
          <w:sz w:val="31"/>
          <w:szCs w:val="31"/>
        </w:rPr>
        <w:t>2023</w:t>
      </w:r>
      <w:r>
        <w:rPr>
          <w:rFonts w:ascii="仿宋" w:hAnsi="仿宋" w:eastAsia="仿宋" w:cs="仿宋"/>
          <w:spacing w:val="-3"/>
          <w:sz w:val="31"/>
          <w:szCs w:val="31"/>
        </w:rPr>
        <w:t>年度一般公共预算财政拨款支出</w:t>
      </w:r>
      <w:r>
        <w:rPr>
          <w:rFonts w:hint="eastAsia" w:ascii="仿宋" w:hAnsi="仿宋" w:eastAsia="仿宋" w:cs="仿宋"/>
          <w:spacing w:val="-3"/>
          <w:sz w:val="31"/>
          <w:szCs w:val="31"/>
          <w:lang w:val="en-US" w:eastAsia="zh-CN"/>
        </w:rPr>
        <w:t>937.47</w:t>
      </w:r>
      <w:r>
        <w:rPr>
          <w:rFonts w:ascii="仿宋" w:hAnsi="仿宋" w:eastAsia="仿宋" w:cs="仿宋"/>
          <w:spacing w:val="-3"/>
          <w:sz w:val="31"/>
          <w:szCs w:val="31"/>
        </w:rPr>
        <w:t>万元，占本年支</w:t>
      </w:r>
      <w:r>
        <w:rPr>
          <w:rFonts w:ascii="仿宋" w:hAnsi="仿宋" w:eastAsia="仿宋" w:cs="仿宋"/>
          <w:spacing w:val="-6"/>
          <w:sz w:val="31"/>
          <w:szCs w:val="31"/>
        </w:rPr>
        <w:t>出合计的</w:t>
      </w:r>
      <w:r>
        <w:rPr>
          <w:rFonts w:hint="eastAsia" w:ascii="仿宋" w:hAnsi="仿宋" w:eastAsia="仿宋" w:cs="仿宋"/>
          <w:spacing w:val="-6"/>
          <w:sz w:val="31"/>
          <w:szCs w:val="31"/>
          <w:lang w:val="en-US" w:eastAsia="zh-CN"/>
        </w:rPr>
        <w:t>99.96</w:t>
      </w:r>
      <w:r>
        <w:rPr>
          <w:rFonts w:ascii="宋体" w:hAnsi="宋体" w:eastAsia="宋体" w:cs="宋体"/>
          <w:spacing w:val="-6"/>
          <w:sz w:val="31"/>
          <w:szCs w:val="31"/>
        </w:rPr>
        <w:t>%</w:t>
      </w:r>
      <w:r>
        <w:rPr>
          <w:rFonts w:ascii="仿宋" w:hAnsi="仿宋" w:eastAsia="仿宋" w:cs="仿宋"/>
          <w:spacing w:val="-3"/>
          <w:sz w:val="31"/>
          <w:szCs w:val="31"/>
        </w:rPr>
        <w:t>。与</w:t>
      </w:r>
      <w:r>
        <w:rPr>
          <w:rFonts w:ascii="宋体" w:hAnsi="宋体" w:eastAsia="宋体" w:cs="宋体"/>
          <w:spacing w:val="-3"/>
          <w:sz w:val="31"/>
          <w:szCs w:val="31"/>
        </w:rPr>
        <w:t>2022</w:t>
      </w:r>
      <w:r>
        <w:rPr>
          <w:rFonts w:ascii="仿宋" w:hAnsi="仿宋" w:eastAsia="仿宋" w:cs="仿宋"/>
          <w:spacing w:val="-3"/>
          <w:sz w:val="31"/>
          <w:szCs w:val="31"/>
        </w:rPr>
        <w:t>年度相比，一般公共预算财政拨款支</w:t>
      </w:r>
      <w:r>
        <w:rPr>
          <w:rFonts w:ascii="仿宋" w:hAnsi="仿宋" w:eastAsia="仿宋" w:cs="仿宋"/>
          <w:spacing w:val="18"/>
          <w:sz w:val="31"/>
          <w:szCs w:val="31"/>
        </w:rPr>
        <w:t>出</w:t>
      </w:r>
      <w:r>
        <w:rPr>
          <w:rFonts w:ascii="仿宋" w:hAnsi="仿宋" w:eastAsia="仿宋" w:cs="仿宋"/>
          <w:spacing w:val="11"/>
          <w:sz w:val="31"/>
          <w:szCs w:val="31"/>
        </w:rPr>
        <w:t>增加</w:t>
      </w:r>
      <w:r>
        <w:rPr>
          <w:rFonts w:hint="eastAsia" w:ascii="仿宋" w:hAnsi="仿宋" w:eastAsia="仿宋" w:cs="仿宋"/>
          <w:spacing w:val="11"/>
          <w:sz w:val="31"/>
          <w:szCs w:val="31"/>
          <w:lang w:val="en-US" w:eastAsia="zh-CN"/>
        </w:rPr>
        <w:t>371.21</w:t>
      </w:r>
      <w:r>
        <w:rPr>
          <w:rFonts w:ascii="仿宋" w:hAnsi="仿宋" w:eastAsia="仿宋" w:cs="仿宋"/>
          <w:spacing w:val="11"/>
          <w:sz w:val="31"/>
          <w:szCs w:val="31"/>
        </w:rPr>
        <w:t>万元，增长</w:t>
      </w:r>
      <w:r>
        <w:rPr>
          <w:rFonts w:hint="eastAsia" w:ascii="仿宋" w:hAnsi="仿宋" w:eastAsia="仿宋" w:cs="仿宋"/>
          <w:spacing w:val="11"/>
          <w:sz w:val="31"/>
          <w:szCs w:val="31"/>
          <w:lang w:val="en-US" w:eastAsia="zh-CN"/>
        </w:rPr>
        <w:t>65.55</w:t>
      </w:r>
      <w:r>
        <w:rPr>
          <w:rFonts w:ascii="宋体" w:hAnsi="宋体" w:eastAsia="宋体" w:cs="宋体"/>
          <w:spacing w:val="11"/>
          <w:sz w:val="31"/>
          <w:szCs w:val="31"/>
        </w:rPr>
        <w:t>%</w:t>
      </w:r>
      <w:r>
        <w:rPr>
          <w:rFonts w:ascii="仿宋" w:hAnsi="仿宋" w:eastAsia="仿宋" w:cs="仿宋"/>
          <w:spacing w:val="11"/>
          <w:sz w:val="31"/>
          <w:szCs w:val="31"/>
        </w:rPr>
        <w:t>。主要原因</w:t>
      </w:r>
      <w:r>
        <w:rPr>
          <w:rFonts w:hint="eastAsia" w:ascii="仿宋" w:hAnsi="仿宋" w:eastAsia="仿宋" w:cs="仿宋"/>
          <w:spacing w:val="11"/>
          <w:sz w:val="31"/>
          <w:szCs w:val="31"/>
          <w:lang w:eastAsia="zh-CN"/>
        </w:rPr>
        <w:t>：</w:t>
      </w:r>
      <w:r>
        <w:rPr>
          <w:rFonts w:hint="eastAsia" w:ascii="仿宋" w:hAnsi="仿宋" w:eastAsia="仿宋" w:cs="仿宋"/>
          <w:spacing w:val="11"/>
          <w:sz w:val="31"/>
          <w:szCs w:val="31"/>
          <w:lang w:val="en-US" w:eastAsia="zh-CN"/>
        </w:rPr>
        <w:t>人员经费和项目经费增加。</w:t>
      </w:r>
    </w:p>
    <w:p w14:paraId="3C300D3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3" w:firstLineChars="139"/>
        <w:textAlignment w:val="baseline"/>
        <w:rPr>
          <w:rFonts w:ascii="仿宋" w:hAnsi="仿宋" w:eastAsia="仿宋" w:cs="仿宋"/>
          <w:sz w:val="31"/>
          <w:szCs w:val="31"/>
        </w:rPr>
      </w:pPr>
      <w:r>
        <w:rPr>
          <w:rFonts w:hint="eastAsia" w:ascii="仿宋" w:hAnsi="仿宋" w:eastAsia="仿宋" w:cs="仿宋"/>
          <w:spacing w:val="26"/>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17"/>
          <w:sz w:val="31"/>
          <w:szCs w:val="31"/>
          <w14:textOutline w14:w="5791" w14:cap="flat" w14:cmpd="sng">
            <w14:solidFill>
              <w14:srgbClr w14:val="000000"/>
            </w14:solidFill>
            <w14:prstDash w14:val="solid"/>
            <w14:miter w14:val="0"/>
          </w14:textOutline>
        </w:rPr>
        <w:t>二</w:t>
      </w:r>
      <w:r>
        <w:rPr>
          <w:rFonts w:hint="eastAsia" w:ascii="仿宋" w:hAnsi="仿宋" w:eastAsia="仿宋" w:cs="仿宋"/>
          <w:spacing w:val="17"/>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17"/>
          <w:sz w:val="31"/>
          <w:szCs w:val="31"/>
        </w:rPr>
        <w:t xml:space="preserve"> </w:t>
      </w:r>
      <w:r>
        <w:rPr>
          <w:rFonts w:ascii="仿宋" w:hAnsi="仿宋" w:eastAsia="仿宋" w:cs="仿宋"/>
          <w:spacing w:val="17"/>
          <w:sz w:val="31"/>
          <w:szCs w:val="31"/>
          <w14:textOutline w14:w="5791" w14:cap="flat" w14:cmpd="sng">
            <w14:solidFill>
              <w14:srgbClr w14:val="000000"/>
            </w14:solidFill>
            <w14:prstDash w14:val="solid"/>
            <w14:miter w14:val="0"/>
          </w14:textOutline>
        </w:rPr>
        <w:t>一般公共预算财政拨款支出决算结构情况</w:t>
      </w:r>
    </w:p>
    <w:p w14:paraId="4CE1C06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pacing w:val="2"/>
          <w:sz w:val="31"/>
          <w:szCs w:val="31"/>
        </w:rPr>
      </w:pPr>
      <w:r>
        <w:rPr>
          <w:rFonts w:ascii="宋体" w:hAnsi="宋体" w:eastAsia="宋体" w:cs="宋体"/>
          <w:spacing w:val="2"/>
          <w:sz w:val="31"/>
          <w:szCs w:val="31"/>
        </w:rPr>
        <w:t>2023</w:t>
      </w:r>
      <w:r>
        <w:rPr>
          <w:rFonts w:ascii="仿宋" w:hAnsi="仿宋" w:eastAsia="仿宋" w:cs="仿宋"/>
          <w:spacing w:val="2"/>
          <w:sz w:val="31"/>
          <w:szCs w:val="31"/>
        </w:rPr>
        <w:t>年度一般公共预算财政拨款支出</w:t>
      </w:r>
      <w:r>
        <w:rPr>
          <w:rFonts w:hint="eastAsia" w:ascii="仿宋" w:hAnsi="仿宋" w:eastAsia="仿宋" w:cs="仿宋"/>
          <w:spacing w:val="2"/>
          <w:sz w:val="31"/>
          <w:szCs w:val="31"/>
          <w:lang w:val="en-US" w:eastAsia="zh-CN"/>
        </w:rPr>
        <w:t>937.47</w:t>
      </w:r>
      <w:r>
        <w:rPr>
          <w:rFonts w:ascii="仿宋" w:hAnsi="仿宋" w:eastAsia="仿宋" w:cs="仿宋"/>
          <w:spacing w:val="2"/>
          <w:sz w:val="31"/>
          <w:szCs w:val="31"/>
        </w:rPr>
        <w:t>万元，主要用于以下方面：</w:t>
      </w:r>
      <w:r>
        <w:rPr>
          <w:rFonts w:hint="eastAsia" w:ascii="仿宋" w:hAnsi="仿宋" w:eastAsia="仿宋" w:cs="仿宋"/>
          <w:spacing w:val="2"/>
          <w:sz w:val="31"/>
          <w:szCs w:val="31"/>
        </w:rPr>
        <w:t>（按支出功能分类科目的类级科目逐一说明）</w:t>
      </w:r>
      <w:r>
        <w:rPr>
          <w:rFonts w:ascii="仿宋" w:hAnsi="仿宋" w:eastAsia="仿宋" w:cs="仿宋"/>
          <w:spacing w:val="2"/>
          <w:sz w:val="31"/>
          <w:szCs w:val="31"/>
        </w:rPr>
        <w:t>一般公共服务支出</w:t>
      </w:r>
      <w:r>
        <w:rPr>
          <w:rFonts w:hint="eastAsia" w:ascii="仿宋" w:hAnsi="仿宋" w:eastAsia="仿宋" w:cs="仿宋"/>
          <w:spacing w:val="2"/>
          <w:sz w:val="31"/>
          <w:szCs w:val="31"/>
          <w:lang w:val="en-US" w:eastAsia="zh-CN"/>
        </w:rPr>
        <w:t>889.51</w:t>
      </w:r>
      <w:r>
        <w:rPr>
          <w:rFonts w:ascii="仿宋" w:hAnsi="仿宋" w:eastAsia="仿宋" w:cs="仿宋"/>
          <w:spacing w:val="2"/>
          <w:sz w:val="31"/>
          <w:szCs w:val="31"/>
        </w:rPr>
        <w:t>万元，占</w:t>
      </w:r>
      <w:r>
        <w:rPr>
          <w:rFonts w:hint="eastAsia" w:ascii="仿宋" w:hAnsi="仿宋" w:eastAsia="仿宋" w:cs="仿宋"/>
          <w:spacing w:val="2"/>
          <w:sz w:val="31"/>
          <w:szCs w:val="31"/>
          <w:lang w:val="en-US" w:eastAsia="zh-CN"/>
        </w:rPr>
        <w:t>94.88</w:t>
      </w:r>
      <w:r>
        <w:rPr>
          <w:rFonts w:ascii="仿宋" w:hAnsi="仿宋" w:eastAsia="仿宋" w:cs="仿宋"/>
          <w:spacing w:val="2"/>
          <w:sz w:val="31"/>
          <w:szCs w:val="31"/>
        </w:rPr>
        <w:t>%；</w:t>
      </w:r>
      <w:r>
        <w:rPr>
          <w:rFonts w:hint="eastAsia" w:ascii="仿宋" w:hAnsi="仿宋" w:eastAsia="仿宋" w:cs="仿宋"/>
          <w:spacing w:val="2"/>
          <w:sz w:val="31"/>
          <w:szCs w:val="31"/>
          <w:lang w:val="en-US" w:eastAsia="zh-CN"/>
        </w:rPr>
        <w:t>组织事务</w:t>
      </w:r>
      <w:r>
        <w:rPr>
          <w:rFonts w:hint="eastAsia" w:ascii="仿宋" w:hAnsi="仿宋" w:eastAsia="仿宋" w:cs="仿宋"/>
          <w:spacing w:val="2"/>
          <w:sz w:val="31"/>
          <w:szCs w:val="31"/>
        </w:rPr>
        <w:t>（类）</w:t>
      </w:r>
      <w:r>
        <w:rPr>
          <w:rFonts w:ascii="仿宋" w:hAnsi="仿宋" w:eastAsia="仿宋" w:cs="仿宋"/>
          <w:spacing w:val="2"/>
          <w:sz w:val="31"/>
          <w:szCs w:val="31"/>
        </w:rPr>
        <w:t>支出</w:t>
      </w:r>
      <w:r>
        <w:rPr>
          <w:rFonts w:hint="eastAsia" w:ascii="仿宋" w:hAnsi="仿宋" w:eastAsia="仿宋" w:cs="仿宋"/>
          <w:spacing w:val="2"/>
          <w:sz w:val="31"/>
          <w:szCs w:val="31"/>
          <w:lang w:val="en-US" w:eastAsia="zh-CN"/>
        </w:rPr>
        <w:t>889.51</w:t>
      </w:r>
      <w:r>
        <w:rPr>
          <w:rFonts w:ascii="仿宋" w:hAnsi="仿宋" w:eastAsia="仿宋" w:cs="仿宋"/>
          <w:spacing w:val="2"/>
          <w:sz w:val="31"/>
          <w:szCs w:val="31"/>
        </w:rPr>
        <w:t>万元，占</w:t>
      </w:r>
      <w:r>
        <w:rPr>
          <w:rFonts w:hint="eastAsia" w:ascii="仿宋" w:hAnsi="仿宋" w:eastAsia="仿宋" w:cs="仿宋"/>
          <w:spacing w:val="2"/>
          <w:sz w:val="31"/>
          <w:szCs w:val="31"/>
          <w:lang w:val="en-US" w:eastAsia="zh-CN"/>
        </w:rPr>
        <w:t>94.88</w:t>
      </w:r>
      <w:r>
        <w:rPr>
          <w:rFonts w:ascii="仿宋" w:hAnsi="仿宋" w:eastAsia="仿宋" w:cs="仿宋"/>
          <w:spacing w:val="2"/>
          <w:sz w:val="31"/>
          <w:szCs w:val="31"/>
        </w:rPr>
        <w:t>%；</w:t>
      </w:r>
      <w:r>
        <w:rPr>
          <w:rFonts w:hint="eastAsia" w:ascii="仿宋" w:hAnsi="仿宋" w:eastAsia="仿宋" w:cs="仿宋"/>
          <w:spacing w:val="2"/>
          <w:sz w:val="31"/>
          <w:szCs w:val="31"/>
        </w:rPr>
        <w:t>行政运行（类）支出</w:t>
      </w:r>
      <w:r>
        <w:rPr>
          <w:rFonts w:hint="eastAsia" w:ascii="仿宋" w:hAnsi="仿宋" w:eastAsia="仿宋" w:cs="仿宋"/>
          <w:spacing w:val="2"/>
          <w:sz w:val="31"/>
          <w:szCs w:val="31"/>
          <w:lang w:val="en-US" w:eastAsia="zh-CN"/>
        </w:rPr>
        <w:t>532.38</w:t>
      </w:r>
      <w:r>
        <w:rPr>
          <w:rFonts w:hint="eastAsia" w:ascii="仿宋" w:hAnsi="仿宋" w:eastAsia="仿宋" w:cs="仿宋"/>
          <w:spacing w:val="2"/>
          <w:sz w:val="31"/>
          <w:szCs w:val="31"/>
        </w:rPr>
        <w:t>万元，占</w:t>
      </w:r>
      <w:r>
        <w:rPr>
          <w:rFonts w:hint="eastAsia" w:ascii="仿宋" w:hAnsi="仿宋" w:eastAsia="仿宋" w:cs="仿宋"/>
          <w:spacing w:val="2"/>
          <w:sz w:val="31"/>
          <w:szCs w:val="31"/>
          <w:lang w:val="en-US" w:eastAsia="zh-CN"/>
        </w:rPr>
        <w:t>56.79</w:t>
      </w:r>
      <w:r>
        <w:rPr>
          <w:rFonts w:hint="eastAsia" w:ascii="仿宋" w:hAnsi="仿宋" w:eastAsia="仿宋" w:cs="仿宋"/>
          <w:spacing w:val="2"/>
          <w:sz w:val="31"/>
          <w:szCs w:val="31"/>
        </w:rPr>
        <w:t>%；一般行政管理事务（类）支出</w:t>
      </w:r>
      <w:r>
        <w:rPr>
          <w:rFonts w:hint="eastAsia" w:ascii="仿宋" w:hAnsi="仿宋" w:eastAsia="仿宋" w:cs="仿宋"/>
          <w:spacing w:val="2"/>
          <w:sz w:val="31"/>
          <w:szCs w:val="31"/>
          <w:lang w:val="en-US" w:eastAsia="zh-CN"/>
        </w:rPr>
        <w:t>357.13</w:t>
      </w:r>
      <w:r>
        <w:rPr>
          <w:rFonts w:hint="eastAsia" w:ascii="仿宋" w:hAnsi="仿宋" w:eastAsia="仿宋" w:cs="仿宋"/>
          <w:spacing w:val="2"/>
          <w:sz w:val="31"/>
          <w:szCs w:val="31"/>
        </w:rPr>
        <w:t>万元，占</w:t>
      </w:r>
      <w:r>
        <w:rPr>
          <w:rFonts w:hint="eastAsia" w:ascii="仿宋" w:hAnsi="仿宋" w:eastAsia="仿宋" w:cs="仿宋"/>
          <w:spacing w:val="2"/>
          <w:sz w:val="31"/>
          <w:szCs w:val="31"/>
          <w:lang w:val="en-US" w:eastAsia="zh-CN"/>
        </w:rPr>
        <w:t>38.10</w:t>
      </w:r>
      <w:r>
        <w:rPr>
          <w:rFonts w:hint="eastAsia" w:ascii="仿宋" w:hAnsi="仿宋" w:eastAsia="仿宋" w:cs="仿宋"/>
          <w:spacing w:val="2"/>
          <w:sz w:val="31"/>
          <w:szCs w:val="31"/>
        </w:rPr>
        <w:t>%；住房保障支出（类）支出</w:t>
      </w:r>
      <w:r>
        <w:rPr>
          <w:rFonts w:hint="eastAsia" w:ascii="仿宋" w:hAnsi="仿宋" w:eastAsia="仿宋" w:cs="仿宋"/>
          <w:spacing w:val="2"/>
          <w:sz w:val="31"/>
          <w:szCs w:val="31"/>
          <w:lang w:val="en-US" w:eastAsia="zh-CN"/>
        </w:rPr>
        <w:t>47.96</w:t>
      </w:r>
      <w:r>
        <w:rPr>
          <w:rFonts w:hint="eastAsia" w:ascii="仿宋" w:hAnsi="仿宋" w:eastAsia="仿宋" w:cs="仿宋"/>
          <w:spacing w:val="2"/>
          <w:sz w:val="31"/>
          <w:szCs w:val="31"/>
        </w:rPr>
        <w:t>万元，占</w:t>
      </w:r>
      <w:r>
        <w:rPr>
          <w:rFonts w:hint="eastAsia" w:ascii="仿宋" w:hAnsi="仿宋" w:eastAsia="仿宋" w:cs="仿宋"/>
          <w:spacing w:val="2"/>
          <w:sz w:val="31"/>
          <w:szCs w:val="31"/>
          <w:lang w:val="en-US" w:eastAsia="zh-CN"/>
        </w:rPr>
        <w:t>5.12</w:t>
      </w:r>
      <w:r>
        <w:rPr>
          <w:rFonts w:hint="eastAsia" w:ascii="仿宋" w:hAnsi="仿宋" w:eastAsia="仿宋" w:cs="仿宋"/>
          <w:spacing w:val="2"/>
          <w:sz w:val="31"/>
          <w:szCs w:val="31"/>
        </w:rPr>
        <w:t>%。</w:t>
      </w:r>
    </w:p>
    <w:p w14:paraId="64AD603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3" w:firstLineChars="139"/>
        <w:textAlignment w:val="baseline"/>
        <w:rPr>
          <w:rFonts w:ascii="仿宋" w:hAnsi="仿宋" w:eastAsia="仿宋" w:cs="仿宋"/>
          <w:sz w:val="31"/>
          <w:szCs w:val="31"/>
        </w:rPr>
      </w:pPr>
      <w:r>
        <w:rPr>
          <w:rFonts w:hint="eastAsia" w:ascii="仿宋" w:hAnsi="仿宋" w:eastAsia="仿宋" w:cs="仿宋"/>
          <w:spacing w:val="26"/>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17"/>
          <w:sz w:val="31"/>
          <w:szCs w:val="31"/>
          <w14:textOutline w14:w="5791" w14:cap="flat" w14:cmpd="sng">
            <w14:solidFill>
              <w14:srgbClr w14:val="000000"/>
            </w14:solidFill>
            <w14:prstDash w14:val="solid"/>
            <w14:miter w14:val="0"/>
          </w14:textOutline>
        </w:rPr>
        <w:t>三</w:t>
      </w:r>
      <w:r>
        <w:rPr>
          <w:rFonts w:hint="eastAsia" w:ascii="仿宋" w:hAnsi="仿宋" w:eastAsia="仿宋" w:cs="仿宋"/>
          <w:spacing w:val="17"/>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17"/>
          <w:sz w:val="31"/>
          <w:szCs w:val="31"/>
        </w:rPr>
        <w:t xml:space="preserve"> </w:t>
      </w:r>
      <w:r>
        <w:rPr>
          <w:rFonts w:ascii="仿宋" w:hAnsi="仿宋" w:eastAsia="仿宋" w:cs="仿宋"/>
          <w:spacing w:val="17"/>
          <w:sz w:val="31"/>
          <w:szCs w:val="31"/>
          <w14:textOutline w14:w="5791" w14:cap="flat" w14:cmpd="sng">
            <w14:solidFill>
              <w14:srgbClr w14:val="000000"/>
            </w14:solidFill>
            <w14:prstDash w14:val="solid"/>
            <w14:miter w14:val="0"/>
          </w14:textOutline>
        </w:rPr>
        <w:t>一般公共预算财政拨款支出决算具体情况</w:t>
      </w:r>
    </w:p>
    <w:p w14:paraId="62B6F37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3" w:firstLineChars="139"/>
        <w:textAlignment w:val="baseline"/>
        <w:rPr>
          <w:rFonts w:ascii="仿宋" w:hAnsi="仿宋" w:eastAsia="仿宋" w:cs="仿宋"/>
          <w:sz w:val="31"/>
          <w:szCs w:val="31"/>
        </w:rPr>
      </w:pPr>
      <w:r>
        <w:rPr>
          <w:rFonts w:ascii="宋体" w:hAnsi="宋体" w:eastAsia="宋体" w:cs="宋体"/>
          <w:spacing w:val="26"/>
          <w:sz w:val="31"/>
          <w:szCs w:val="31"/>
        </w:rPr>
        <w:t>2</w:t>
      </w:r>
      <w:r>
        <w:rPr>
          <w:rFonts w:ascii="宋体" w:hAnsi="宋体" w:eastAsia="宋体" w:cs="宋体"/>
          <w:spacing w:val="17"/>
          <w:sz w:val="31"/>
          <w:szCs w:val="31"/>
        </w:rPr>
        <w:t>0</w:t>
      </w:r>
      <w:r>
        <w:rPr>
          <w:rFonts w:ascii="宋体" w:hAnsi="宋体" w:eastAsia="宋体" w:cs="宋体"/>
          <w:spacing w:val="13"/>
          <w:sz w:val="31"/>
          <w:szCs w:val="31"/>
        </w:rPr>
        <w:t>23</w:t>
      </w:r>
      <w:r>
        <w:rPr>
          <w:rFonts w:ascii="仿宋" w:hAnsi="仿宋" w:eastAsia="仿宋" w:cs="仿宋"/>
          <w:spacing w:val="13"/>
          <w:sz w:val="31"/>
          <w:szCs w:val="31"/>
        </w:rPr>
        <w:t>年度一般公共预算财政拨款支出年初预算为</w:t>
      </w:r>
      <w:r>
        <w:rPr>
          <w:rFonts w:hint="eastAsia" w:ascii="仿宋" w:hAnsi="仿宋" w:eastAsia="仿宋" w:cs="仿宋"/>
          <w:spacing w:val="13"/>
          <w:sz w:val="31"/>
          <w:szCs w:val="31"/>
          <w:lang w:val="en-US" w:eastAsia="zh-CN"/>
        </w:rPr>
        <w:t>937.47</w:t>
      </w:r>
      <w:r>
        <w:rPr>
          <w:rFonts w:ascii="仿宋" w:hAnsi="仿宋" w:eastAsia="仿宋" w:cs="仿宋"/>
          <w:spacing w:val="13"/>
          <w:sz w:val="31"/>
          <w:szCs w:val="31"/>
        </w:rPr>
        <w:t>万</w:t>
      </w:r>
      <w:r>
        <w:rPr>
          <w:rFonts w:ascii="仿宋" w:hAnsi="仿宋" w:eastAsia="仿宋" w:cs="仿宋"/>
          <w:spacing w:val="8"/>
          <w:sz w:val="31"/>
          <w:szCs w:val="31"/>
        </w:rPr>
        <w:t>元，支出</w:t>
      </w:r>
      <w:r>
        <w:rPr>
          <w:rFonts w:ascii="仿宋" w:hAnsi="仿宋" w:eastAsia="仿宋" w:cs="仿宋"/>
          <w:spacing w:val="5"/>
          <w:sz w:val="31"/>
          <w:szCs w:val="31"/>
        </w:rPr>
        <w:t>决</w:t>
      </w:r>
      <w:r>
        <w:rPr>
          <w:rFonts w:ascii="仿宋" w:hAnsi="仿宋" w:eastAsia="仿宋" w:cs="仿宋"/>
          <w:spacing w:val="4"/>
          <w:sz w:val="31"/>
          <w:szCs w:val="31"/>
        </w:rPr>
        <w:t>算为</w:t>
      </w:r>
      <w:r>
        <w:rPr>
          <w:rFonts w:hint="eastAsia" w:ascii="仿宋" w:hAnsi="仿宋" w:eastAsia="仿宋" w:cs="仿宋"/>
          <w:spacing w:val="4"/>
          <w:sz w:val="31"/>
          <w:szCs w:val="31"/>
          <w:lang w:val="en-US" w:eastAsia="zh-CN"/>
        </w:rPr>
        <w:t>937.47</w:t>
      </w:r>
      <w:r>
        <w:rPr>
          <w:rFonts w:ascii="仿宋" w:hAnsi="仿宋" w:eastAsia="仿宋" w:cs="仿宋"/>
          <w:spacing w:val="4"/>
          <w:sz w:val="31"/>
          <w:szCs w:val="31"/>
        </w:rPr>
        <w:t>万元，完成年初预算的</w:t>
      </w:r>
      <w:r>
        <w:rPr>
          <w:rFonts w:hint="eastAsia" w:ascii="仿宋" w:hAnsi="仿宋" w:eastAsia="仿宋" w:cs="仿宋"/>
          <w:spacing w:val="4"/>
          <w:sz w:val="31"/>
          <w:szCs w:val="31"/>
          <w:lang w:val="en-US" w:eastAsia="zh-CN"/>
        </w:rPr>
        <w:t>100.00</w:t>
      </w:r>
      <w:r>
        <w:rPr>
          <w:rFonts w:ascii="宋体" w:hAnsi="宋体" w:eastAsia="宋体" w:cs="宋体"/>
          <w:spacing w:val="4"/>
          <w:sz w:val="31"/>
          <w:szCs w:val="31"/>
        </w:rPr>
        <w:t>%</w:t>
      </w:r>
      <w:r>
        <w:rPr>
          <w:rFonts w:ascii="仿宋" w:hAnsi="仿宋" w:eastAsia="仿宋" w:cs="仿宋"/>
          <w:spacing w:val="4"/>
          <w:sz w:val="31"/>
          <w:szCs w:val="31"/>
        </w:rPr>
        <w:t>。其中：</w:t>
      </w:r>
    </w:p>
    <w:p w14:paraId="12303B2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7" w:firstLineChars="139"/>
        <w:textAlignment w:val="baseline"/>
        <w:rPr>
          <w:rFonts w:hint="eastAsia" w:ascii="仿宋" w:hAnsi="仿宋" w:eastAsia="仿宋" w:cs="仿宋"/>
          <w:spacing w:val="13"/>
          <w:sz w:val="31"/>
          <w:szCs w:val="31"/>
        </w:rPr>
      </w:pPr>
      <w:r>
        <w:rPr>
          <w:rFonts w:hint="eastAsia" w:ascii="仿宋" w:hAnsi="仿宋" w:eastAsia="仿宋" w:cs="仿宋"/>
          <w:spacing w:val="13"/>
          <w:sz w:val="31"/>
          <w:szCs w:val="31"/>
        </w:rPr>
        <w:t>1.一般公共服务（类）财政事务（款）行政运行（项）。（即按支出功能分类科目类、款、项级科目逐一说明）年初预算为</w:t>
      </w:r>
      <w:r>
        <w:rPr>
          <w:rFonts w:hint="eastAsia" w:ascii="仿宋" w:hAnsi="仿宋" w:eastAsia="仿宋" w:cs="仿宋"/>
          <w:spacing w:val="13"/>
          <w:sz w:val="31"/>
          <w:szCs w:val="31"/>
          <w:lang w:val="en-US" w:eastAsia="zh-CN"/>
        </w:rPr>
        <w:t>889.51</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889.51</w:t>
      </w:r>
      <w:r>
        <w:rPr>
          <w:rFonts w:hint="eastAsia" w:ascii="仿宋" w:hAnsi="仿宋" w:eastAsia="仿宋" w:cs="仿宋"/>
          <w:spacing w:val="13"/>
          <w:sz w:val="31"/>
          <w:szCs w:val="31"/>
        </w:rPr>
        <w:t>万元，完成年初预算的100.00%。</w:t>
      </w:r>
    </w:p>
    <w:p w14:paraId="6C1D6C2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7" w:firstLineChars="139"/>
        <w:textAlignment w:val="baseline"/>
        <w:rPr>
          <w:rFonts w:hint="eastAsia" w:ascii="仿宋" w:hAnsi="仿宋" w:eastAsia="仿宋" w:cs="仿宋"/>
          <w:spacing w:val="13"/>
          <w:sz w:val="31"/>
          <w:szCs w:val="31"/>
        </w:rPr>
      </w:pPr>
      <w:r>
        <w:rPr>
          <w:rFonts w:hint="eastAsia" w:ascii="仿宋" w:hAnsi="仿宋" w:eastAsia="仿宋" w:cs="仿宋"/>
          <w:spacing w:val="13"/>
          <w:sz w:val="31"/>
          <w:szCs w:val="31"/>
        </w:rPr>
        <w:t>2.</w:t>
      </w:r>
      <w:r>
        <w:rPr>
          <w:rFonts w:hint="eastAsia" w:ascii="仿宋" w:hAnsi="仿宋" w:eastAsia="仿宋" w:cs="仿宋"/>
          <w:spacing w:val="13"/>
          <w:sz w:val="31"/>
          <w:szCs w:val="31"/>
          <w:lang w:val="en-US" w:eastAsia="zh-CN"/>
        </w:rPr>
        <w:t>组织</w:t>
      </w:r>
      <w:r>
        <w:rPr>
          <w:rFonts w:hint="eastAsia" w:ascii="仿宋" w:hAnsi="仿宋" w:eastAsia="仿宋" w:cs="仿宋"/>
          <w:spacing w:val="13"/>
          <w:sz w:val="31"/>
          <w:szCs w:val="31"/>
        </w:rPr>
        <w:t>事务（类）（即按支出功能分类科目类、款、项级科目逐一说明）年初预算为</w:t>
      </w:r>
      <w:r>
        <w:rPr>
          <w:rFonts w:hint="eastAsia" w:ascii="仿宋" w:hAnsi="仿宋" w:eastAsia="仿宋" w:cs="仿宋"/>
          <w:spacing w:val="13"/>
          <w:sz w:val="31"/>
          <w:szCs w:val="31"/>
          <w:lang w:val="en-US" w:eastAsia="zh-CN"/>
        </w:rPr>
        <w:t>889.51</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889.51</w:t>
      </w:r>
      <w:r>
        <w:rPr>
          <w:rFonts w:hint="eastAsia" w:ascii="仿宋" w:hAnsi="仿宋" w:eastAsia="仿宋" w:cs="仿宋"/>
          <w:spacing w:val="13"/>
          <w:sz w:val="31"/>
          <w:szCs w:val="31"/>
        </w:rPr>
        <w:t>万元，完成年初预算的100.00%。基本支出年初预算为</w:t>
      </w:r>
      <w:r>
        <w:rPr>
          <w:rFonts w:hint="eastAsia" w:ascii="仿宋" w:hAnsi="仿宋" w:eastAsia="仿宋" w:cs="仿宋"/>
          <w:spacing w:val="13"/>
          <w:sz w:val="31"/>
          <w:szCs w:val="31"/>
          <w:lang w:val="en-US" w:eastAsia="zh-CN"/>
        </w:rPr>
        <w:t>532.38</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532.38</w:t>
      </w:r>
      <w:r>
        <w:rPr>
          <w:rFonts w:hint="eastAsia" w:ascii="仿宋" w:hAnsi="仿宋" w:eastAsia="仿宋" w:cs="仿宋"/>
          <w:spacing w:val="13"/>
          <w:sz w:val="31"/>
          <w:szCs w:val="31"/>
        </w:rPr>
        <w:t>万元，完成年初预算的100.00%，其中：人员经费年初预算为</w:t>
      </w:r>
      <w:r>
        <w:rPr>
          <w:rFonts w:hint="eastAsia" w:ascii="仿宋" w:hAnsi="仿宋" w:eastAsia="仿宋" w:cs="仿宋"/>
          <w:spacing w:val="13"/>
          <w:sz w:val="31"/>
          <w:szCs w:val="31"/>
          <w:lang w:val="en-US" w:eastAsia="zh-CN"/>
        </w:rPr>
        <w:t>480.67</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480.67</w:t>
      </w:r>
      <w:r>
        <w:rPr>
          <w:rFonts w:hint="eastAsia" w:ascii="仿宋" w:hAnsi="仿宋" w:eastAsia="仿宋" w:cs="仿宋"/>
          <w:spacing w:val="13"/>
          <w:sz w:val="31"/>
          <w:szCs w:val="31"/>
        </w:rPr>
        <w:t>万元，完成年初预算的100.00%，公用经费年初预算为</w:t>
      </w:r>
      <w:r>
        <w:rPr>
          <w:rFonts w:hint="eastAsia" w:ascii="仿宋" w:hAnsi="仿宋" w:eastAsia="仿宋" w:cs="仿宋"/>
          <w:spacing w:val="13"/>
          <w:sz w:val="31"/>
          <w:szCs w:val="31"/>
          <w:lang w:val="en-US" w:eastAsia="zh-CN"/>
        </w:rPr>
        <w:t>51.71</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51.71</w:t>
      </w:r>
      <w:r>
        <w:rPr>
          <w:rFonts w:hint="eastAsia" w:ascii="仿宋" w:hAnsi="仿宋" w:eastAsia="仿宋" w:cs="仿宋"/>
          <w:spacing w:val="13"/>
          <w:sz w:val="31"/>
          <w:szCs w:val="31"/>
        </w:rPr>
        <w:t>万元，完成年初预算的100.00%；项目支出年初预算为</w:t>
      </w:r>
      <w:r>
        <w:rPr>
          <w:rFonts w:hint="eastAsia" w:ascii="仿宋" w:hAnsi="仿宋" w:eastAsia="仿宋" w:cs="仿宋"/>
          <w:spacing w:val="13"/>
          <w:sz w:val="31"/>
          <w:szCs w:val="31"/>
          <w:lang w:val="en-US" w:eastAsia="zh-CN"/>
        </w:rPr>
        <w:t>357.13</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357.13</w:t>
      </w:r>
      <w:r>
        <w:rPr>
          <w:rFonts w:hint="eastAsia" w:ascii="仿宋" w:hAnsi="仿宋" w:eastAsia="仿宋" w:cs="仿宋"/>
          <w:spacing w:val="13"/>
          <w:sz w:val="31"/>
          <w:szCs w:val="31"/>
        </w:rPr>
        <w:t>万元，完成年初预算的100.00%。</w:t>
      </w:r>
    </w:p>
    <w:p w14:paraId="40CB620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7" w:firstLineChars="139"/>
        <w:textAlignment w:val="baseline"/>
        <w:rPr>
          <w:rFonts w:hint="eastAsia" w:ascii="仿宋" w:hAnsi="仿宋" w:eastAsia="仿宋" w:cs="仿宋"/>
          <w:spacing w:val="13"/>
          <w:sz w:val="31"/>
          <w:szCs w:val="31"/>
        </w:rPr>
      </w:pPr>
      <w:r>
        <w:rPr>
          <w:rFonts w:hint="eastAsia" w:ascii="仿宋" w:hAnsi="仿宋" w:eastAsia="仿宋" w:cs="仿宋"/>
          <w:spacing w:val="13"/>
          <w:sz w:val="31"/>
          <w:szCs w:val="31"/>
        </w:rPr>
        <w:t>3.行政运行（类）（即按支出功能分类科目类、款、项级科目逐一说明）年初未申请财政拨款预算</w:t>
      </w:r>
      <w:r>
        <w:rPr>
          <w:rFonts w:hint="eastAsia" w:ascii="仿宋" w:hAnsi="仿宋" w:eastAsia="仿宋" w:cs="仿宋"/>
          <w:spacing w:val="13"/>
          <w:sz w:val="31"/>
          <w:szCs w:val="31"/>
          <w:lang w:val="en-US" w:eastAsia="zh-CN"/>
        </w:rPr>
        <w:t>532.38</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532.38</w:t>
      </w:r>
      <w:r>
        <w:rPr>
          <w:rFonts w:hint="eastAsia" w:ascii="仿宋" w:hAnsi="仿宋" w:eastAsia="仿宋" w:cs="仿宋"/>
          <w:spacing w:val="13"/>
          <w:sz w:val="31"/>
          <w:szCs w:val="31"/>
        </w:rPr>
        <w:t>万元。基本支出年初预算为</w:t>
      </w:r>
      <w:r>
        <w:rPr>
          <w:rFonts w:hint="eastAsia" w:ascii="仿宋" w:hAnsi="仿宋" w:eastAsia="仿宋" w:cs="仿宋"/>
          <w:spacing w:val="13"/>
          <w:sz w:val="31"/>
          <w:szCs w:val="31"/>
          <w:lang w:val="en-US" w:eastAsia="zh-CN"/>
        </w:rPr>
        <w:t>532.38</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532.38</w:t>
      </w:r>
      <w:r>
        <w:rPr>
          <w:rFonts w:hint="eastAsia" w:ascii="仿宋" w:hAnsi="仿宋" w:eastAsia="仿宋" w:cs="仿宋"/>
          <w:spacing w:val="13"/>
          <w:sz w:val="31"/>
          <w:szCs w:val="31"/>
        </w:rPr>
        <w:t>万元，完成年初预算的100.00%，其中：人员经费年初预算为</w:t>
      </w:r>
      <w:r>
        <w:rPr>
          <w:rFonts w:hint="eastAsia" w:ascii="仿宋" w:hAnsi="仿宋" w:eastAsia="仿宋" w:cs="仿宋"/>
          <w:spacing w:val="13"/>
          <w:sz w:val="31"/>
          <w:szCs w:val="31"/>
          <w:lang w:val="en-US" w:eastAsia="zh-CN"/>
        </w:rPr>
        <w:t>480.67</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480.67</w:t>
      </w:r>
      <w:r>
        <w:rPr>
          <w:rFonts w:hint="eastAsia" w:ascii="仿宋" w:hAnsi="仿宋" w:eastAsia="仿宋" w:cs="仿宋"/>
          <w:spacing w:val="13"/>
          <w:sz w:val="31"/>
          <w:szCs w:val="31"/>
        </w:rPr>
        <w:t>万元，完成年初预算的100.00%，公用经费年初预算为</w:t>
      </w:r>
      <w:r>
        <w:rPr>
          <w:rFonts w:hint="eastAsia" w:ascii="仿宋" w:hAnsi="仿宋" w:eastAsia="仿宋" w:cs="仿宋"/>
          <w:spacing w:val="13"/>
          <w:sz w:val="31"/>
          <w:szCs w:val="31"/>
          <w:lang w:val="en-US" w:eastAsia="zh-CN"/>
        </w:rPr>
        <w:t>51.71</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51.71</w:t>
      </w:r>
      <w:r>
        <w:rPr>
          <w:rFonts w:hint="eastAsia" w:ascii="仿宋" w:hAnsi="仿宋" w:eastAsia="仿宋" w:cs="仿宋"/>
          <w:spacing w:val="13"/>
          <w:sz w:val="31"/>
          <w:szCs w:val="31"/>
        </w:rPr>
        <w:t>万元，完成年初预算的100.00%。</w:t>
      </w:r>
    </w:p>
    <w:p w14:paraId="5ED6FA6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7" w:firstLineChars="139"/>
        <w:textAlignment w:val="baseline"/>
        <w:rPr>
          <w:rFonts w:hint="eastAsia" w:ascii="仿宋" w:hAnsi="仿宋" w:eastAsia="仿宋" w:cs="仿宋"/>
          <w:spacing w:val="13"/>
          <w:sz w:val="31"/>
          <w:szCs w:val="31"/>
        </w:rPr>
      </w:pPr>
      <w:r>
        <w:rPr>
          <w:rFonts w:hint="eastAsia" w:ascii="仿宋" w:hAnsi="仿宋" w:eastAsia="仿宋" w:cs="仿宋"/>
          <w:spacing w:val="13"/>
          <w:sz w:val="31"/>
          <w:szCs w:val="31"/>
        </w:rPr>
        <w:t>4.一般行政管理事务（类）（即按支出功能分类科目类、款、项级科目逐一说明）年初未申请财政拨款预</w:t>
      </w:r>
      <w:r>
        <w:rPr>
          <w:rFonts w:hint="eastAsia" w:ascii="仿宋" w:hAnsi="仿宋" w:eastAsia="仿宋" w:cs="仿宋"/>
          <w:spacing w:val="13"/>
          <w:sz w:val="31"/>
          <w:szCs w:val="31"/>
          <w:lang w:val="en-US" w:eastAsia="zh-CN"/>
        </w:rPr>
        <w:t>算</w:t>
      </w:r>
      <w:r>
        <w:rPr>
          <w:rFonts w:hint="eastAsia" w:ascii="仿宋" w:hAnsi="仿宋" w:eastAsia="仿宋" w:cs="仿宋"/>
          <w:spacing w:val="13"/>
          <w:sz w:val="31"/>
          <w:szCs w:val="31"/>
        </w:rPr>
        <w:t>357.13万元，支出决算为357.13万元。项目支出年初预算为357.13万元，支出决算为357.13万元，完成年初预算的100.00%。</w:t>
      </w:r>
    </w:p>
    <w:p w14:paraId="34E604B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7" w:firstLineChars="139"/>
        <w:textAlignment w:val="baseline"/>
        <w:rPr>
          <w:rFonts w:hint="eastAsia" w:ascii="仿宋" w:hAnsi="仿宋" w:eastAsia="仿宋" w:cs="仿宋"/>
          <w:spacing w:val="13"/>
          <w:sz w:val="31"/>
          <w:szCs w:val="31"/>
        </w:rPr>
      </w:pPr>
      <w:r>
        <w:rPr>
          <w:rFonts w:hint="eastAsia" w:ascii="仿宋" w:hAnsi="仿宋" w:eastAsia="仿宋" w:cs="仿宋"/>
          <w:spacing w:val="13"/>
          <w:sz w:val="31"/>
          <w:szCs w:val="31"/>
        </w:rPr>
        <w:t>5.住房保障支出（类）（即按支出功能分类科目类、款、项级科目逐一说明）年初未申请财政拨款预算47.96万元，支出决算为47.96万元。基本支出-住房公积金年初预算为47.96万元，支出决算为47.96万元，完成年初预算的100.00%。</w:t>
      </w:r>
    </w:p>
    <w:p w14:paraId="231FEB2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黑体" w:hAnsi="黑体" w:eastAsia="黑体" w:cs="黑体"/>
          <w:sz w:val="31"/>
          <w:szCs w:val="31"/>
        </w:rPr>
      </w:pPr>
      <w:r>
        <w:rPr>
          <w:rFonts w:ascii="黑体" w:hAnsi="黑体" w:eastAsia="黑体" w:cs="黑体"/>
          <w:spacing w:val="2"/>
          <w:sz w:val="31"/>
          <w:szCs w:val="31"/>
        </w:rPr>
        <w:t>六、一般公共预算财政拨款基本</w:t>
      </w:r>
      <w:r>
        <w:rPr>
          <w:rFonts w:ascii="黑体" w:hAnsi="黑体" w:eastAsia="黑体" w:cs="黑体"/>
          <w:spacing w:val="1"/>
          <w:sz w:val="31"/>
          <w:szCs w:val="31"/>
        </w:rPr>
        <w:t>支出决算情况说明</w:t>
      </w:r>
    </w:p>
    <w:p w14:paraId="1D20C4C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3" w:firstLineChars="139"/>
        <w:textAlignment w:val="baseline"/>
        <w:rPr>
          <w:rFonts w:ascii="仿宋" w:hAnsi="仿宋" w:eastAsia="仿宋" w:cs="仿宋"/>
          <w:sz w:val="31"/>
          <w:szCs w:val="31"/>
        </w:rPr>
      </w:pPr>
      <w:r>
        <w:rPr>
          <w:rFonts w:ascii="宋体" w:hAnsi="宋体" w:eastAsia="宋体" w:cs="宋体"/>
          <w:spacing w:val="26"/>
          <w:sz w:val="31"/>
          <w:szCs w:val="31"/>
        </w:rPr>
        <w:t>2</w:t>
      </w:r>
      <w:r>
        <w:rPr>
          <w:rFonts w:ascii="宋体" w:hAnsi="宋体" w:eastAsia="宋体" w:cs="宋体"/>
          <w:spacing w:val="16"/>
          <w:sz w:val="31"/>
          <w:szCs w:val="31"/>
        </w:rPr>
        <w:t>0</w:t>
      </w:r>
      <w:r>
        <w:rPr>
          <w:rFonts w:ascii="宋体" w:hAnsi="宋体" w:eastAsia="宋体" w:cs="宋体"/>
          <w:spacing w:val="13"/>
          <w:sz w:val="31"/>
          <w:szCs w:val="31"/>
        </w:rPr>
        <w:t>23</w:t>
      </w:r>
      <w:r>
        <w:rPr>
          <w:rFonts w:ascii="仿宋" w:hAnsi="仿宋" w:eastAsia="仿宋" w:cs="仿宋"/>
          <w:spacing w:val="13"/>
          <w:sz w:val="31"/>
          <w:szCs w:val="31"/>
        </w:rPr>
        <w:t>年度一般公共预算财政拨款基本支出</w:t>
      </w:r>
      <w:r>
        <w:rPr>
          <w:rFonts w:hint="eastAsia" w:ascii="仿宋" w:hAnsi="仿宋" w:eastAsia="仿宋" w:cs="仿宋"/>
          <w:spacing w:val="13"/>
          <w:sz w:val="31"/>
          <w:szCs w:val="31"/>
          <w:lang w:val="en-US" w:eastAsia="zh-CN"/>
        </w:rPr>
        <w:t>580.34</w:t>
      </w:r>
      <w:r>
        <w:rPr>
          <w:rFonts w:ascii="仿宋" w:hAnsi="仿宋" w:eastAsia="仿宋" w:cs="仿宋"/>
          <w:spacing w:val="13"/>
          <w:sz w:val="31"/>
          <w:szCs w:val="31"/>
        </w:rPr>
        <w:t>万元，其</w:t>
      </w:r>
      <w:r>
        <w:rPr>
          <w:rFonts w:ascii="仿宋" w:hAnsi="仿宋" w:eastAsia="仿宋" w:cs="仿宋"/>
          <w:sz w:val="31"/>
          <w:szCs w:val="31"/>
        </w:rPr>
        <w:t xml:space="preserve"> </w:t>
      </w:r>
      <w:r>
        <w:rPr>
          <w:rFonts w:ascii="仿宋" w:hAnsi="仿宋" w:eastAsia="仿宋" w:cs="仿宋"/>
          <w:spacing w:val="-31"/>
          <w:sz w:val="31"/>
          <w:szCs w:val="31"/>
        </w:rPr>
        <w:t>中</w:t>
      </w:r>
      <w:r>
        <w:rPr>
          <w:rFonts w:ascii="仿宋" w:hAnsi="仿宋" w:eastAsia="仿宋" w:cs="仿宋"/>
          <w:spacing w:val="-29"/>
          <w:sz w:val="31"/>
          <w:szCs w:val="31"/>
        </w:rPr>
        <w:t>：</w:t>
      </w:r>
    </w:p>
    <w:p w14:paraId="4313E49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5" w:firstLineChars="139"/>
        <w:textAlignment w:val="baseline"/>
        <w:rPr>
          <w:rFonts w:ascii="仿宋" w:hAnsi="仿宋" w:eastAsia="仿宋" w:cs="仿宋"/>
          <w:sz w:val="31"/>
          <w:szCs w:val="31"/>
        </w:rPr>
      </w:pPr>
      <w:r>
        <w:rPr>
          <w:rFonts w:ascii="仿宋" w:hAnsi="仿宋" w:eastAsia="仿宋" w:cs="仿宋"/>
          <w:spacing w:val="16"/>
          <w:sz w:val="31"/>
          <w:szCs w:val="31"/>
          <w14:textOutline w14:w="5791" w14:cap="flat" w14:cmpd="sng">
            <w14:solidFill>
              <w14:srgbClr w14:val="000000"/>
            </w14:solidFill>
            <w14:prstDash w14:val="solid"/>
            <w14:miter w14:val="0"/>
          </w14:textOutline>
        </w:rPr>
        <w:t>人</w:t>
      </w:r>
      <w:r>
        <w:rPr>
          <w:rFonts w:ascii="仿宋" w:hAnsi="仿宋" w:eastAsia="仿宋" w:cs="仿宋"/>
          <w:spacing w:val="8"/>
          <w:sz w:val="31"/>
          <w:szCs w:val="31"/>
          <w14:textOutline w14:w="5791" w14:cap="flat" w14:cmpd="sng">
            <w14:solidFill>
              <w14:srgbClr w14:val="000000"/>
            </w14:solidFill>
            <w14:prstDash w14:val="solid"/>
            <w14:miter w14:val="0"/>
          </w14:textOutline>
        </w:rPr>
        <w:t>员经费</w:t>
      </w:r>
      <w:r>
        <w:rPr>
          <w:rFonts w:hint="eastAsia" w:ascii="仿宋" w:hAnsi="仿宋" w:eastAsia="仿宋" w:cs="仿宋"/>
          <w:spacing w:val="8"/>
          <w:sz w:val="31"/>
          <w:szCs w:val="31"/>
          <w:lang w:val="en-US" w:eastAsia="zh-CN"/>
        </w:rPr>
        <w:t>528.63</w:t>
      </w:r>
      <w:r>
        <w:rPr>
          <w:rFonts w:ascii="仿宋" w:hAnsi="仿宋" w:eastAsia="仿宋" w:cs="仿宋"/>
          <w:spacing w:val="8"/>
          <w:sz w:val="31"/>
          <w:szCs w:val="31"/>
          <w14:textOutline w14:w="5791" w14:cap="flat" w14:cmpd="sng">
            <w14:solidFill>
              <w14:srgbClr w14:val="000000"/>
            </w14:solidFill>
            <w14:prstDash w14:val="solid"/>
            <w14:miter w14:val="0"/>
          </w14:textOutline>
        </w:rPr>
        <w:t>万元</w:t>
      </w:r>
      <w:r>
        <w:rPr>
          <w:rFonts w:ascii="仿宋" w:hAnsi="仿宋" w:eastAsia="仿宋" w:cs="仿宋"/>
          <w:spacing w:val="8"/>
          <w:sz w:val="31"/>
          <w:szCs w:val="31"/>
        </w:rPr>
        <w:t>，主要包括：基本工资、津贴补贴、奖</w:t>
      </w:r>
      <w:r>
        <w:rPr>
          <w:rFonts w:ascii="仿宋" w:hAnsi="仿宋" w:eastAsia="仿宋" w:cs="仿宋"/>
          <w:spacing w:val="9"/>
          <w:sz w:val="31"/>
          <w:szCs w:val="31"/>
        </w:rPr>
        <w:t>金、机关事业单位基本养老保险</w:t>
      </w:r>
      <w:r>
        <w:rPr>
          <w:rFonts w:ascii="仿宋" w:hAnsi="仿宋" w:eastAsia="仿宋" w:cs="仿宋"/>
          <w:spacing w:val="4"/>
          <w:sz w:val="31"/>
          <w:szCs w:val="31"/>
        </w:rPr>
        <w:t>缴</w:t>
      </w:r>
      <w:r>
        <w:rPr>
          <w:rFonts w:ascii="仿宋" w:hAnsi="仿宋" w:eastAsia="仿宋" w:cs="仿宋"/>
          <w:spacing w:val="16"/>
          <w:sz w:val="31"/>
          <w:szCs w:val="31"/>
        </w:rPr>
        <w:t>费、</w:t>
      </w:r>
      <w:r>
        <w:rPr>
          <w:rFonts w:ascii="仿宋" w:hAnsi="仿宋" w:eastAsia="仿宋" w:cs="仿宋"/>
          <w:spacing w:val="12"/>
          <w:sz w:val="31"/>
          <w:szCs w:val="31"/>
        </w:rPr>
        <w:t>职</w:t>
      </w:r>
      <w:r>
        <w:rPr>
          <w:rFonts w:ascii="仿宋" w:hAnsi="仿宋" w:eastAsia="仿宋" w:cs="仿宋"/>
          <w:spacing w:val="8"/>
          <w:sz w:val="31"/>
          <w:szCs w:val="31"/>
        </w:rPr>
        <w:t>业年金缴费、职工基本医疗保险缴费、公务员医疗补</w:t>
      </w:r>
      <w:r>
        <w:rPr>
          <w:rFonts w:ascii="仿宋" w:hAnsi="仿宋" w:eastAsia="仿宋" w:cs="仿宋"/>
          <w:spacing w:val="3"/>
          <w:sz w:val="31"/>
          <w:szCs w:val="31"/>
        </w:rPr>
        <w:t>助缴费、其他社会保障缴费、住房公积金、医疗费、其</w:t>
      </w:r>
      <w:r>
        <w:rPr>
          <w:rFonts w:ascii="仿宋" w:hAnsi="仿宋" w:eastAsia="仿宋" w:cs="仿宋"/>
          <w:spacing w:val="2"/>
          <w:sz w:val="31"/>
          <w:szCs w:val="31"/>
        </w:rPr>
        <w:t>他</w:t>
      </w:r>
      <w:r>
        <w:rPr>
          <w:rFonts w:ascii="仿宋" w:hAnsi="仿宋" w:eastAsia="仿宋" w:cs="仿宋"/>
          <w:sz w:val="31"/>
          <w:szCs w:val="31"/>
        </w:rPr>
        <w:t>工</w:t>
      </w:r>
      <w:r>
        <w:rPr>
          <w:rFonts w:ascii="仿宋" w:hAnsi="仿宋" w:eastAsia="仿宋" w:cs="仿宋"/>
          <w:spacing w:val="22"/>
          <w:sz w:val="31"/>
          <w:szCs w:val="31"/>
        </w:rPr>
        <w:t>资</w:t>
      </w:r>
      <w:r>
        <w:rPr>
          <w:rFonts w:ascii="仿宋" w:hAnsi="仿宋" w:eastAsia="仿宋" w:cs="仿宋"/>
          <w:spacing w:val="14"/>
          <w:sz w:val="31"/>
          <w:szCs w:val="31"/>
        </w:rPr>
        <w:t>福利支出、离休费、退休费、抚恤金、生</w:t>
      </w:r>
      <w:r>
        <w:rPr>
          <w:rFonts w:ascii="仿宋" w:hAnsi="仿宋" w:eastAsia="仿宋" w:cs="仿宋"/>
          <w:spacing w:val="3"/>
          <w:sz w:val="31"/>
          <w:szCs w:val="31"/>
        </w:rPr>
        <w:t>活补助、救济费、医疗费补助、助学金、奖励金、个人</w:t>
      </w:r>
      <w:r>
        <w:rPr>
          <w:rFonts w:ascii="仿宋" w:hAnsi="仿宋" w:eastAsia="仿宋" w:cs="仿宋"/>
          <w:spacing w:val="2"/>
          <w:sz w:val="31"/>
          <w:szCs w:val="31"/>
        </w:rPr>
        <w:t>农</w:t>
      </w:r>
      <w:r>
        <w:rPr>
          <w:rFonts w:ascii="仿宋" w:hAnsi="仿宋" w:eastAsia="仿宋" w:cs="仿宋"/>
          <w:sz w:val="31"/>
          <w:szCs w:val="31"/>
        </w:rPr>
        <w:t xml:space="preserve">业 </w:t>
      </w:r>
      <w:r>
        <w:rPr>
          <w:rFonts w:ascii="仿宋" w:hAnsi="仿宋" w:eastAsia="仿宋" w:cs="仿宋"/>
          <w:spacing w:val="9"/>
          <w:sz w:val="31"/>
          <w:szCs w:val="31"/>
        </w:rPr>
        <w:t>生产补贴、代缴社会保险费和其他对个人和家庭的补助</w:t>
      </w:r>
      <w:r>
        <w:rPr>
          <w:rFonts w:ascii="仿宋" w:hAnsi="仿宋" w:eastAsia="仿宋" w:cs="仿宋"/>
          <w:spacing w:val="6"/>
          <w:sz w:val="31"/>
          <w:szCs w:val="31"/>
        </w:rPr>
        <w:t>。</w:t>
      </w:r>
    </w:p>
    <w:p w14:paraId="7560606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0" w:firstLineChars="139"/>
        <w:textAlignment w:val="baseline"/>
        <w:rPr>
          <w:rFonts w:ascii="仿宋" w:hAnsi="仿宋" w:eastAsia="仿宋" w:cs="仿宋"/>
          <w:sz w:val="31"/>
          <w:szCs w:val="31"/>
        </w:rPr>
      </w:pPr>
    </w:p>
    <w:p w14:paraId="2DA0EFA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3" w:firstLineChars="139"/>
        <w:textAlignment w:val="baseline"/>
        <w:rPr>
          <w:rFonts w:hint="eastAsia" w:ascii="仿宋" w:hAnsi="仿宋" w:eastAsia="仿宋" w:cs="仿宋"/>
          <w:sz w:val="31"/>
          <w:szCs w:val="31"/>
          <w:lang w:eastAsia="zh-CN"/>
        </w:rPr>
      </w:pPr>
      <w:r>
        <w:rPr>
          <w:rFonts w:ascii="仿宋" w:hAnsi="仿宋" w:eastAsia="仿宋" w:cs="仿宋"/>
          <w:spacing w:val="-10"/>
          <w:sz w:val="31"/>
          <w:szCs w:val="31"/>
          <w14:textOutline w14:w="5791" w14:cap="flat" w14:cmpd="sng">
            <w14:solidFill>
              <w14:srgbClr w14:val="000000"/>
            </w14:solidFill>
            <w14:prstDash w14:val="solid"/>
            <w14:miter w14:val="0"/>
          </w14:textOutline>
        </w:rPr>
        <w:t>公用经</w:t>
      </w:r>
      <w:r>
        <w:rPr>
          <w:rFonts w:ascii="仿宋" w:hAnsi="仿宋" w:eastAsia="仿宋" w:cs="仿宋"/>
          <w:spacing w:val="-9"/>
          <w:sz w:val="31"/>
          <w:szCs w:val="31"/>
          <w14:textOutline w14:w="5791" w14:cap="flat" w14:cmpd="sng">
            <w14:solidFill>
              <w14:srgbClr w14:val="000000"/>
            </w14:solidFill>
            <w14:prstDash w14:val="solid"/>
            <w14:miter w14:val="0"/>
          </w14:textOutline>
        </w:rPr>
        <w:t>费</w:t>
      </w:r>
      <w:r>
        <w:rPr>
          <w:rFonts w:hint="eastAsia" w:ascii="仿宋" w:hAnsi="仿宋" w:eastAsia="仿宋" w:cs="仿宋"/>
          <w:spacing w:val="-5"/>
          <w:sz w:val="31"/>
          <w:szCs w:val="31"/>
          <w:lang w:val="en-US" w:eastAsia="zh-CN"/>
        </w:rPr>
        <w:t>51.71</w:t>
      </w:r>
      <w:r>
        <w:rPr>
          <w:rFonts w:ascii="仿宋" w:hAnsi="仿宋" w:eastAsia="仿宋" w:cs="仿宋"/>
          <w:spacing w:val="-5"/>
          <w:sz w:val="31"/>
          <w:szCs w:val="31"/>
          <w14:textOutline w14:w="5791" w14:cap="flat" w14:cmpd="sng">
            <w14:solidFill>
              <w14:srgbClr w14:val="000000"/>
            </w14:solidFill>
            <w14:prstDash w14:val="solid"/>
            <w14:miter w14:val="0"/>
          </w14:textOutline>
        </w:rPr>
        <w:t>万元</w:t>
      </w:r>
      <w:r>
        <w:rPr>
          <w:rFonts w:ascii="仿宋" w:hAnsi="仿宋" w:eastAsia="仿宋" w:cs="仿宋"/>
          <w:spacing w:val="-5"/>
          <w:sz w:val="31"/>
          <w:szCs w:val="31"/>
        </w:rPr>
        <w:t>，主要包括：办公费、印刷费、咨询费、</w:t>
      </w:r>
      <w:r>
        <w:rPr>
          <w:rFonts w:ascii="仿宋" w:hAnsi="仿宋" w:eastAsia="仿宋" w:cs="仿宋"/>
          <w:spacing w:val="9"/>
          <w:sz w:val="31"/>
          <w:szCs w:val="31"/>
        </w:rPr>
        <w:t>手续费、水费、电费、邮电费、取暖费、物业管理费、差</w:t>
      </w:r>
      <w:r>
        <w:rPr>
          <w:rFonts w:ascii="仿宋" w:hAnsi="仿宋" w:eastAsia="仿宋" w:cs="仿宋"/>
          <w:spacing w:val="4"/>
          <w:sz w:val="31"/>
          <w:szCs w:val="31"/>
        </w:rPr>
        <w:t>旅</w:t>
      </w:r>
      <w:r>
        <w:rPr>
          <w:rFonts w:ascii="仿宋" w:hAnsi="仿宋" w:eastAsia="仿宋" w:cs="仿宋"/>
          <w:sz w:val="31"/>
          <w:szCs w:val="31"/>
        </w:rPr>
        <w:t xml:space="preserve"> </w:t>
      </w:r>
      <w:r>
        <w:rPr>
          <w:rFonts w:ascii="仿宋" w:hAnsi="仿宋" w:eastAsia="仿宋" w:cs="仿宋"/>
          <w:spacing w:val="26"/>
          <w:sz w:val="31"/>
          <w:szCs w:val="31"/>
        </w:rPr>
        <w:t>费、因公出国</w:t>
      </w:r>
      <w:r>
        <w:rPr>
          <w:rFonts w:hint="eastAsia" w:ascii="仿宋" w:hAnsi="仿宋" w:eastAsia="仿宋" w:cs="仿宋"/>
          <w:spacing w:val="26"/>
          <w:sz w:val="31"/>
          <w:szCs w:val="31"/>
          <w:lang w:eastAsia="zh-CN"/>
        </w:rPr>
        <w:t>（</w:t>
      </w:r>
      <w:r>
        <w:rPr>
          <w:rFonts w:ascii="仿宋" w:hAnsi="仿宋" w:eastAsia="仿宋" w:cs="仿宋"/>
          <w:spacing w:val="26"/>
          <w:sz w:val="31"/>
          <w:szCs w:val="31"/>
        </w:rPr>
        <w:t>境</w:t>
      </w:r>
      <w:r>
        <w:rPr>
          <w:rFonts w:hint="eastAsia" w:ascii="仿宋" w:hAnsi="仿宋" w:eastAsia="仿宋" w:cs="仿宋"/>
          <w:spacing w:val="26"/>
          <w:sz w:val="31"/>
          <w:szCs w:val="31"/>
          <w:lang w:eastAsia="zh-CN"/>
        </w:rPr>
        <w:t>）</w:t>
      </w:r>
      <w:r>
        <w:rPr>
          <w:rFonts w:ascii="仿宋" w:hAnsi="仿宋" w:eastAsia="仿宋" w:cs="仿宋"/>
          <w:spacing w:val="26"/>
          <w:sz w:val="31"/>
          <w:szCs w:val="31"/>
        </w:rPr>
        <w:t>费、维修</w:t>
      </w:r>
      <w:r>
        <w:rPr>
          <w:rFonts w:hint="eastAsia" w:ascii="仿宋" w:hAnsi="仿宋" w:eastAsia="仿宋" w:cs="仿宋"/>
          <w:spacing w:val="26"/>
          <w:sz w:val="31"/>
          <w:szCs w:val="31"/>
          <w:lang w:eastAsia="zh-CN"/>
        </w:rPr>
        <w:t>（</w:t>
      </w:r>
      <w:r>
        <w:rPr>
          <w:rFonts w:ascii="仿宋" w:hAnsi="仿宋" w:eastAsia="仿宋" w:cs="仿宋"/>
          <w:spacing w:val="26"/>
          <w:sz w:val="31"/>
          <w:szCs w:val="31"/>
        </w:rPr>
        <w:t>护</w:t>
      </w:r>
      <w:r>
        <w:rPr>
          <w:rFonts w:hint="eastAsia" w:ascii="仿宋" w:hAnsi="仿宋" w:eastAsia="仿宋" w:cs="仿宋"/>
          <w:spacing w:val="26"/>
          <w:sz w:val="31"/>
          <w:szCs w:val="31"/>
          <w:lang w:eastAsia="zh-CN"/>
        </w:rPr>
        <w:t>）</w:t>
      </w:r>
      <w:r>
        <w:rPr>
          <w:rFonts w:ascii="仿宋" w:hAnsi="仿宋" w:eastAsia="仿宋" w:cs="仿宋"/>
          <w:spacing w:val="26"/>
          <w:sz w:val="31"/>
          <w:szCs w:val="31"/>
        </w:rPr>
        <w:t>费、租赁费、会议费</w:t>
      </w:r>
      <w:r>
        <w:rPr>
          <w:rFonts w:ascii="仿宋" w:hAnsi="仿宋" w:eastAsia="仿宋" w:cs="仿宋"/>
          <w:spacing w:val="24"/>
          <w:sz w:val="31"/>
          <w:szCs w:val="31"/>
        </w:rPr>
        <w:t>、</w:t>
      </w:r>
      <w:r>
        <w:rPr>
          <w:rFonts w:ascii="仿宋" w:hAnsi="仿宋" w:eastAsia="仿宋" w:cs="仿宋"/>
          <w:sz w:val="31"/>
          <w:szCs w:val="31"/>
        </w:rPr>
        <w:t xml:space="preserve"> </w:t>
      </w:r>
      <w:r>
        <w:rPr>
          <w:rFonts w:ascii="仿宋" w:hAnsi="仿宋" w:eastAsia="仿宋" w:cs="仿宋"/>
          <w:spacing w:val="9"/>
          <w:sz w:val="31"/>
          <w:szCs w:val="31"/>
        </w:rPr>
        <w:t>培训费、公务接待费、专用材料费、被装购置费、专用燃</w:t>
      </w:r>
      <w:r>
        <w:rPr>
          <w:rFonts w:ascii="仿宋" w:hAnsi="仿宋" w:eastAsia="仿宋" w:cs="仿宋"/>
          <w:spacing w:val="7"/>
          <w:sz w:val="31"/>
          <w:szCs w:val="31"/>
        </w:rPr>
        <w:t>料</w:t>
      </w:r>
      <w:r>
        <w:rPr>
          <w:rFonts w:ascii="仿宋" w:hAnsi="仿宋" w:eastAsia="仿宋" w:cs="仿宋"/>
          <w:spacing w:val="9"/>
          <w:sz w:val="31"/>
          <w:szCs w:val="31"/>
        </w:rPr>
        <w:t>费、劳务费、委托业务费、工会经费、福利费、公务用车</w:t>
      </w:r>
      <w:r>
        <w:rPr>
          <w:rFonts w:ascii="仿宋" w:hAnsi="仿宋" w:eastAsia="仿宋" w:cs="仿宋"/>
          <w:spacing w:val="6"/>
          <w:sz w:val="31"/>
          <w:szCs w:val="31"/>
        </w:rPr>
        <w:t>运</w:t>
      </w:r>
      <w:r>
        <w:rPr>
          <w:rFonts w:ascii="仿宋" w:hAnsi="仿宋" w:eastAsia="仿宋" w:cs="仿宋"/>
          <w:spacing w:val="9"/>
          <w:sz w:val="31"/>
          <w:szCs w:val="31"/>
        </w:rPr>
        <w:t>行维护费、其他交通费用、税金及附加费用、其他商品和</w:t>
      </w:r>
      <w:r>
        <w:rPr>
          <w:rFonts w:ascii="仿宋" w:hAnsi="仿宋" w:eastAsia="仿宋" w:cs="仿宋"/>
          <w:spacing w:val="5"/>
          <w:sz w:val="31"/>
          <w:szCs w:val="31"/>
        </w:rPr>
        <w:t>服</w:t>
      </w:r>
      <w:r>
        <w:rPr>
          <w:rFonts w:ascii="仿宋" w:hAnsi="仿宋" w:eastAsia="仿宋" w:cs="仿宋"/>
          <w:spacing w:val="9"/>
          <w:sz w:val="31"/>
          <w:szCs w:val="31"/>
        </w:rPr>
        <w:t>务支出、房屋建筑物购建、办公设备购置、专用设备购置</w:t>
      </w:r>
      <w:r>
        <w:rPr>
          <w:rFonts w:ascii="仿宋" w:hAnsi="仿宋" w:eastAsia="仿宋" w:cs="仿宋"/>
          <w:spacing w:val="8"/>
          <w:sz w:val="31"/>
          <w:szCs w:val="31"/>
        </w:rPr>
        <w:t>、</w:t>
      </w:r>
      <w:r>
        <w:rPr>
          <w:rFonts w:ascii="仿宋" w:hAnsi="仿宋" w:eastAsia="仿宋" w:cs="仿宋"/>
          <w:spacing w:val="10"/>
          <w:sz w:val="31"/>
          <w:szCs w:val="31"/>
        </w:rPr>
        <w:t>基</w:t>
      </w:r>
      <w:r>
        <w:rPr>
          <w:rFonts w:ascii="仿宋" w:hAnsi="仿宋" w:eastAsia="仿宋" w:cs="仿宋"/>
          <w:spacing w:val="9"/>
          <w:sz w:val="31"/>
          <w:szCs w:val="31"/>
        </w:rPr>
        <w:t>础设施建设、大型修缮、信息网络及软件购置更新、其他</w:t>
      </w:r>
      <w:r>
        <w:rPr>
          <w:rFonts w:ascii="仿宋" w:hAnsi="仿宋" w:eastAsia="仿宋" w:cs="仿宋"/>
          <w:spacing w:val="5"/>
          <w:sz w:val="31"/>
          <w:szCs w:val="31"/>
        </w:rPr>
        <w:t>资本性支</w:t>
      </w:r>
      <w:r>
        <w:rPr>
          <w:rFonts w:ascii="仿宋" w:hAnsi="仿宋" w:eastAsia="仿宋" w:cs="仿宋"/>
          <w:spacing w:val="4"/>
          <w:sz w:val="31"/>
          <w:szCs w:val="31"/>
        </w:rPr>
        <w:t>出</w:t>
      </w:r>
      <w:r>
        <w:rPr>
          <w:rFonts w:hint="eastAsia" w:ascii="仿宋" w:hAnsi="仿宋" w:eastAsia="仿宋" w:cs="仿宋"/>
          <w:spacing w:val="4"/>
          <w:sz w:val="31"/>
          <w:szCs w:val="31"/>
          <w:lang w:eastAsia="zh-CN"/>
        </w:rPr>
        <w:t>。</w:t>
      </w:r>
    </w:p>
    <w:p w14:paraId="569ACD3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139"/>
        <w:textAlignment w:val="baseline"/>
        <w:rPr>
          <w:rFonts w:ascii="黑体" w:hAnsi="黑体" w:eastAsia="黑体" w:cs="黑体"/>
          <w:sz w:val="31"/>
          <w:szCs w:val="31"/>
        </w:rPr>
      </w:pPr>
      <w:r>
        <w:rPr>
          <w:rFonts w:ascii="黑体" w:hAnsi="黑体" w:eastAsia="黑体" w:cs="黑体"/>
          <w:spacing w:val="18"/>
          <w:sz w:val="31"/>
          <w:szCs w:val="31"/>
        </w:rPr>
        <w:t>七</w:t>
      </w:r>
      <w:r>
        <w:rPr>
          <w:rFonts w:ascii="黑体" w:hAnsi="黑体" w:eastAsia="黑体" w:cs="黑体"/>
          <w:spacing w:val="9"/>
          <w:sz w:val="31"/>
          <w:szCs w:val="31"/>
        </w:rPr>
        <w:t>、政府性基金预算财政拨款收入支出决算情况说明</w:t>
      </w:r>
    </w:p>
    <w:p w14:paraId="0C617FE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ascii="仿宋" w:hAnsi="仿宋" w:eastAsia="仿宋" w:cs="仿宋"/>
          <w:spacing w:val="9"/>
          <w:sz w:val="31"/>
          <w:szCs w:val="31"/>
        </w:rPr>
      </w:pPr>
      <w:r>
        <w:rPr>
          <w:rFonts w:ascii="仿宋" w:hAnsi="仿宋" w:eastAsia="仿宋" w:cs="仿宋"/>
          <w:spacing w:val="9"/>
          <w:sz w:val="31"/>
          <w:szCs w:val="31"/>
        </w:rPr>
        <w:t>2023年</w:t>
      </w:r>
      <w:r>
        <w:rPr>
          <w:rFonts w:hint="eastAsia" w:ascii="仿宋" w:hAnsi="仿宋" w:eastAsia="仿宋" w:cs="仿宋"/>
          <w:spacing w:val="9"/>
          <w:sz w:val="31"/>
          <w:szCs w:val="31"/>
        </w:rPr>
        <w:t>度政府性基金预算财政拨款年初结转和结余  0.00万元；本年收入0.00万元；本年支出0.00万元，年末结转和结余0.00万元。</w:t>
      </w:r>
    </w:p>
    <w:p w14:paraId="78E3446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9" w:firstLineChars="139"/>
        <w:textAlignment w:val="baseline"/>
        <w:rPr>
          <w:rFonts w:ascii="黑体" w:hAnsi="黑体" w:eastAsia="黑体" w:cs="黑体"/>
          <w:sz w:val="31"/>
          <w:szCs w:val="31"/>
        </w:rPr>
      </w:pPr>
      <w:r>
        <w:rPr>
          <w:rFonts w:ascii="黑体" w:hAnsi="黑体" w:eastAsia="黑体" w:cs="黑体"/>
          <w:spacing w:val="14"/>
          <w:sz w:val="31"/>
          <w:szCs w:val="31"/>
        </w:rPr>
        <w:t>八</w:t>
      </w:r>
      <w:r>
        <w:rPr>
          <w:rFonts w:ascii="黑体" w:hAnsi="黑体" w:eastAsia="黑体" w:cs="黑体"/>
          <w:spacing w:val="9"/>
          <w:sz w:val="31"/>
          <w:szCs w:val="31"/>
        </w:rPr>
        <w:t>、国有资本经营预算财政拨款支出决算情况说明</w:t>
      </w:r>
    </w:p>
    <w:p w14:paraId="1B61394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ascii="Arial"/>
          <w:sz w:val="21"/>
        </w:rPr>
      </w:pPr>
      <w:r>
        <w:rPr>
          <w:rFonts w:ascii="仿宋" w:hAnsi="仿宋" w:eastAsia="仿宋" w:cs="仿宋"/>
          <w:spacing w:val="9"/>
          <w:sz w:val="31"/>
          <w:szCs w:val="31"/>
        </w:rPr>
        <w:t>2023</w:t>
      </w:r>
      <w:r>
        <w:rPr>
          <w:rFonts w:hint="eastAsia" w:ascii="仿宋" w:hAnsi="仿宋" w:eastAsia="仿宋" w:cs="仿宋"/>
          <w:spacing w:val="9"/>
          <w:sz w:val="31"/>
          <w:szCs w:val="31"/>
        </w:rPr>
        <w:t>年度国有资本经营预算年初结转和结余0.00万元；本年收入0.00万元；本年支出0.00万元，年末结转和结余 0.00万元。</w:t>
      </w:r>
    </w:p>
    <w:p w14:paraId="408282C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黑体" w:hAnsi="黑体" w:eastAsia="黑体" w:cs="黑体"/>
          <w:sz w:val="31"/>
          <w:szCs w:val="31"/>
        </w:rPr>
      </w:pPr>
      <w:r>
        <w:rPr>
          <w:rFonts w:ascii="黑体" w:hAnsi="黑体" w:eastAsia="黑体" w:cs="黑体"/>
          <w:spacing w:val="2"/>
          <w:sz w:val="31"/>
          <w:szCs w:val="31"/>
        </w:rPr>
        <w:t>九</w:t>
      </w:r>
      <w:r>
        <w:rPr>
          <w:rFonts w:ascii="黑体" w:hAnsi="黑体" w:eastAsia="黑体" w:cs="黑体"/>
          <w:spacing w:val="1"/>
          <w:sz w:val="31"/>
          <w:szCs w:val="31"/>
        </w:rPr>
        <w:t>、财政拨款“三公”经费支出决算情况说明</w:t>
      </w:r>
    </w:p>
    <w:p w14:paraId="4977774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（一）“三公”经费财政拨款支出决算总体情况说明</w:t>
      </w:r>
    </w:p>
    <w:p w14:paraId="32E238D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202</w:t>
      </w:r>
      <w:r>
        <w:rPr>
          <w:rFonts w:hint="eastAsia" w:ascii="仿宋" w:hAnsi="仿宋" w:eastAsia="仿宋" w:cs="仿宋"/>
          <w:spacing w:val="9"/>
          <w:sz w:val="31"/>
          <w:szCs w:val="31"/>
          <w:lang w:val="en-US" w:eastAsia="zh-CN"/>
        </w:rPr>
        <w:t>3</w:t>
      </w:r>
      <w:r>
        <w:rPr>
          <w:rFonts w:hint="eastAsia" w:ascii="仿宋" w:hAnsi="仿宋" w:eastAsia="仿宋" w:cs="仿宋"/>
          <w:spacing w:val="9"/>
          <w:sz w:val="31"/>
          <w:szCs w:val="31"/>
        </w:rPr>
        <w:t>年度“三公”经费财政拨款支出预算为0.00万元，支出决算为0.00万元，完成预算的0.00%；较上年增加（减少）0.00万元，增长（下降）0.00%。</w:t>
      </w:r>
    </w:p>
    <w:p w14:paraId="799F861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（二）“三公”经费财政拨款支出决算具体情况说明</w:t>
      </w:r>
    </w:p>
    <w:p w14:paraId="55F0C8C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202</w:t>
      </w:r>
      <w:r>
        <w:rPr>
          <w:rFonts w:hint="eastAsia" w:ascii="仿宋" w:hAnsi="仿宋" w:eastAsia="仿宋" w:cs="仿宋"/>
          <w:spacing w:val="9"/>
          <w:sz w:val="31"/>
          <w:szCs w:val="31"/>
          <w:lang w:val="en-US" w:eastAsia="zh-CN"/>
        </w:rPr>
        <w:t>3</w:t>
      </w:r>
      <w:r>
        <w:rPr>
          <w:rFonts w:hint="eastAsia" w:ascii="仿宋" w:hAnsi="仿宋" w:eastAsia="仿宋" w:cs="仿宋"/>
          <w:spacing w:val="9"/>
          <w:sz w:val="31"/>
          <w:szCs w:val="31"/>
        </w:rPr>
        <w:t>年度“三公”经费财政拨款支出决算中，因公出国（境）费支出决算为0.00万元，占0.00%；公务用车购置及运行费支出决算为0.00万元，占0.00%；公务接待费支出决算为0.00万元，占0.00%。具体情况如下：</w:t>
      </w:r>
      <w:r>
        <w:rPr>
          <w:rFonts w:hint="eastAsia" w:ascii="仿宋" w:hAnsi="仿宋" w:eastAsia="仿宋" w:cs="仿宋"/>
          <w:spacing w:val="9"/>
          <w:sz w:val="31"/>
          <w:szCs w:val="31"/>
        </w:rPr>
        <w:tab/>
      </w:r>
    </w:p>
    <w:p w14:paraId="0ECF1D0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1.因公出国（境）费预算为0.00万元，支出决算为0.00万元，完成预算的0.00%，较上年增加（减少）0.00万元，增长（下降）0.00%，</w:t>
      </w:r>
    </w:p>
    <w:p w14:paraId="7BA57CE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 xml:space="preserve">   2.公务用车购置及运行费预算0.00万元，支出决算为   万元，完成预算的0.00%；较上年增加（减少）0.00万元，增长（下降）</w:t>
      </w:r>
      <w:r>
        <w:rPr>
          <w:rFonts w:hint="eastAsia" w:ascii="仿宋" w:hAnsi="仿宋" w:eastAsia="仿宋" w:cs="仿宋"/>
          <w:spacing w:val="9"/>
          <w:sz w:val="31"/>
          <w:szCs w:val="31"/>
          <w:lang w:val="en-US" w:eastAsia="zh-CN"/>
        </w:rPr>
        <w:t>0.00</w:t>
      </w:r>
      <w:r>
        <w:rPr>
          <w:rFonts w:hint="eastAsia" w:ascii="仿宋" w:hAnsi="仿宋" w:eastAsia="仿宋" w:cs="仿宋"/>
          <w:spacing w:val="9"/>
          <w:sz w:val="31"/>
          <w:szCs w:val="31"/>
        </w:rPr>
        <w:t>%，其中：</w:t>
      </w:r>
    </w:p>
    <w:p w14:paraId="6E1BACE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公务用车购置支出0.00万元。</w:t>
      </w:r>
    </w:p>
    <w:p w14:paraId="211D960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公务用车运行支出0.00万元。</w:t>
      </w:r>
    </w:p>
    <w:p w14:paraId="5230DD0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截至202</w:t>
      </w:r>
      <w:r>
        <w:rPr>
          <w:rFonts w:hint="eastAsia" w:ascii="仿宋" w:hAnsi="仿宋" w:eastAsia="仿宋" w:cs="仿宋"/>
          <w:spacing w:val="9"/>
          <w:sz w:val="31"/>
          <w:szCs w:val="31"/>
          <w:lang w:val="en-US" w:eastAsia="zh-CN"/>
        </w:rPr>
        <w:t>3</w:t>
      </w:r>
      <w:r>
        <w:rPr>
          <w:rFonts w:hint="eastAsia" w:ascii="仿宋" w:hAnsi="仿宋" w:eastAsia="仿宋" w:cs="仿宋"/>
          <w:spacing w:val="9"/>
          <w:sz w:val="31"/>
          <w:szCs w:val="31"/>
        </w:rPr>
        <w:t xml:space="preserve">年12月31日，开支财政拨款的公务用车保有量为0辆，公务用车购置数为0辆。 </w:t>
      </w:r>
    </w:p>
    <w:p w14:paraId="4718255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3.公务接待费预算为0.00万元，支出决算为0.00万元，完成预算的0.00%。其中：</w:t>
      </w:r>
    </w:p>
    <w:p w14:paraId="34C2EE9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外宾接待支出0.00万元。全年共接待国（境）外来访团组数0个、来访外宾0人次（不包括陪同人员）。</w:t>
      </w:r>
    </w:p>
    <w:p w14:paraId="736D19D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其他国内公务接待支出0.00万元。全年共接待国内来访团组0个、来宾0人次（不包括陪同人员） 。</w:t>
      </w:r>
    </w:p>
    <w:p w14:paraId="6FBE055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91" w:firstLineChars="139"/>
        <w:textAlignment w:val="baseline"/>
        <w:rPr>
          <w:rFonts w:ascii="黑体" w:hAnsi="黑体" w:eastAsia="黑体" w:cs="黑体"/>
          <w:sz w:val="31"/>
          <w:szCs w:val="31"/>
        </w:rPr>
      </w:pPr>
      <w:r>
        <w:rPr>
          <w:rFonts w:ascii="黑体" w:hAnsi="黑体" w:eastAsia="黑体" w:cs="黑体"/>
          <w:spacing w:val="-14"/>
          <w:sz w:val="31"/>
          <w:szCs w:val="31"/>
        </w:rPr>
        <w:t>十、</w:t>
      </w:r>
      <w:r>
        <w:rPr>
          <w:rFonts w:ascii="黑体" w:hAnsi="黑体" w:eastAsia="黑体" w:cs="黑体"/>
          <w:spacing w:val="-7"/>
          <w:sz w:val="31"/>
          <w:szCs w:val="31"/>
        </w:rPr>
        <w:t xml:space="preserve"> 关于2023年度绩效评价情况说明</w:t>
      </w:r>
    </w:p>
    <w:p w14:paraId="0F0D470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2" w:firstLineChars="139"/>
        <w:textAlignment w:val="baseline"/>
        <w:rPr>
          <w:rFonts w:ascii="仿宋" w:hAnsi="仿宋" w:eastAsia="仿宋" w:cs="仿宋"/>
          <w:spacing w:val="15"/>
          <w:sz w:val="31"/>
          <w:szCs w:val="31"/>
        </w:rPr>
      </w:pPr>
      <w:r>
        <w:rPr>
          <w:rFonts w:hint="eastAsia" w:ascii="仿宋" w:hAnsi="仿宋" w:eastAsia="仿宋" w:cs="仿宋"/>
          <w:spacing w:val="15"/>
          <w:sz w:val="31"/>
          <w:szCs w:val="31"/>
          <w:lang w:eastAsia="zh-CN"/>
        </w:rPr>
        <w:t>（</w:t>
      </w:r>
      <w:r>
        <w:rPr>
          <w:rFonts w:ascii="仿宋" w:hAnsi="仿宋" w:eastAsia="仿宋" w:cs="仿宋"/>
          <w:spacing w:val="15"/>
          <w:sz w:val="31"/>
          <w:szCs w:val="31"/>
        </w:rPr>
        <w:t>一</w:t>
      </w:r>
      <w:r>
        <w:rPr>
          <w:rFonts w:hint="eastAsia" w:ascii="仿宋" w:hAnsi="仿宋" w:eastAsia="仿宋" w:cs="仿宋"/>
          <w:spacing w:val="15"/>
          <w:sz w:val="31"/>
          <w:szCs w:val="31"/>
          <w:lang w:eastAsia="zh-CN"/>
        </w:rPr>
        <w:t>）</w:t>
      </w:r>
      <w:r>
        <w:rPr>
          <w:rFonts w:ascii="仿宋" w:hAnsi="仿宋" w:eastAsia="仿宋" w:cs="仿宋"/>
          <w:spacing w:val="15"/>
          <w:sz w:val="31"/>
          <w:szCs w:val="31"/>
        </w:rPr>
        <w:t xml:space="preserve"> 绩效评价工作开展情况。</w:t>
      </w:r>
    </w:p>
    <w:p w14:paraId="418B9D5B">
      <w:pPr>
        <w:spacing w:line="500" w:lineRule="exact"/>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绩效评价目的</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对象和范围</w:t>
      </w:r>
    </w:p>
    <w:p w14:paraId="35DF41B7">
      <w:pPr>
        <w:numPr>
          <w:ilvl w:val="0"/>
          <w:numId w:val="0"/>
        </w:numPr>
        <w:spacing w:line="500" w:lineRule="exact"/>
        <w:ind w:left="0" w:leftChars="0" w:firstLine="420" w:firstLineChars="15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通过客观、公正、独立地进行绩效评价，系统增强社区党组织服务群众经费的使用情况，了解项目立项、资金落实、业务管理、项目产出、项目效益等有关情况，总结项目实施中的经验和存在的问题，有助于降低项目成本，提升项目实施效果，规范资金管理，切实提高财政资金的经济、社会和其他效益，为提高公共服务水平提供决策依据。</w:t>
      </w:r>
    </w:p>
    <w:p w14:paraId="5A0A0277">
      <w:pPr>
        <w:numPr>
          <w:ilvl w:val="0"/>
          <w:numId w:val="0"/>
        </w:numPr>
        <w:spacing w:line="500" w:lineRule="exact"/>
        <w:ind w:left="0" w:leftChars="0" w:firstLine="420" w:firstLineChars="15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2.绩效评价工作方案制定过程</w:t>
      </w:r>
    </w:p>
    <w:p w14:paraId="4824131B">
      <w:pPr>
        <w:numPr>
          <w:ilvl w:val="0"/>
          <w:numId w:val="0"/>
        </w:numPr>
        <w:spacing w:line="500" w:lineRule="exact"/>
        <w:ind w:left="0" w:leftChars="0" w:firstLine="420" w:firstLineChars="15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（1）前期调研；</w:t>
      </w:r>
    </w:p>
    <w:p w14:paraId="655E4B91">
      <w:pPr>
        <w:numPr>
          <w:ilvl w:val="0"/>
          <w:numId w:val="0"/>
        </w:numPr>
        <w:spacing w:line="500" w:lineRule="exact"/>
        <w:ind w:left="0" w:leftChars="0" w:firstLine="420" w:firstLineChars="15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（2）研究文件；</w:t>
      </w:r>
    </w:p>
    <w:p w14:paraId="71352FCA">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（3）绩效评价指标体系及工作方案的设计，具体情况详见附件（指标评价体系表）。</w:t>
      </w:r>
    </w:p>
    <w:p w14:paraId="4216B954">
      <w:pPr>
        <w:numPr>
          <w:ilvl w:val="0"/>
          <w:numId w:val="0"/>
        </w:numPr>
        <w:spacing w:line="500" w:lineRule="exact"/>
        <w:ind w:left="15" w:leftChars="7" w:firstLine="403" w:firstLineChars="144"/>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3.绩效评价原则、评价指标体系、评价方法、评价标准</w:t>
      </w:r>
    </w:p>
    <w:p w14:paraId="3047E008">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（1）绩效评价原则。为确保该项目绩效评价工作取得实效，区委组织部加强预算绩效管理制度建设，认真编制预算支出绩效目标，积极开展绩效评价。</w:t>
      </w:r>
    </w:p>
    <w:p w14:paraId="351A33D1">
      <w:pPr>
        <w:numPr>
          <w:ilvl w:val="0"/>
          <w:numId w:val="0"/>
        </w:numPr>
        <w:spacing w:line="500" w:lineRule="exact"/>
        <w:ind w:left="0" w:leftChars="0" w:firstLine="420" w:firstLineChars="15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1）科学规范的原则。绩效评价严格执行规定的程序，按照科学可行的要求，采用定量与定性分析相结合的方法。</w:t>
      </w:r>
    </w:p>
    <w:p w14:paraId="5C0AB420">
      <w:pPr>
        <w:numPr>
          <w:ilvl w:val="0"/>
          <w:numId w:val="0"/>
        </w:numPr>
        <w:spacing w:line="500" w:lineRule="exact"/>
        <w:ind w:left="0" w:leftChars="0" w:firstLine="420" w:firstLineChars="15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2）公正公开的原则。绩效评价符合真实、客观、公正的要求，依法公开并接受监督。</w:t>
      </w:r>
    </w:p>
    <w:p w14:paraId="25DFCE4C">
      <w:pPr>
        <w:numPr>
          <w:ilvl w:val="0"/>
          <w:numId w:val="0"/>
        </w:numPr>
        <w:spacing w:line="500" w:lineRule="exact"/>
        <w:ind w:left="0" w:leftChars="0" w:firstLine="420" w:firstLineChars="15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3）绩效相关的原则。绩效评价针对具体支出及其产出绩效进行，评价结果清晰反映支出和产出绩效之间的紧密对应关系。</w:t>
      </w:r>
    </w:p>
    <w:p w14:paraId="6E49F8E7">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（2）评价指标体系</w:t>
      </w:r>
    </w:p>
    <w:p w14:paraId="263C0A19">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根据绩效评价的基本原理、原则和项目特点，结合项目绩效目标，在制定评价指标体系过程中，坚持以下原则： </w:t>
      </w:r>
    </w:p>
    <w:p w14:paraId="1DF53C23">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1）绩效评价指标与绩效目标有直接的联系，能够正确反映目标的实现程度； </w:t>
      </w:r>
    </w:p>
    <w:p w14:paraId="5E90334C">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2）优先使用最具部门（单位）或行业代表性、最能反映评价要求的核心指标； </w:t>
      </w:r>
    </w:p>
    <w:p w14:paraId="6BFBB9F9">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3）对具有相似目标的工作选定共同的绩效目标，保证绩效结果可以相互比较； </w:t>
      </w:r>
    </w:p>
    <w:p w14:paraId="2A109A97">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4）绩效评价指标设计通俗易懂、简便易行，数据的获得考虑现实条件和可操作性，符合成本效益原则。 </w:t>
      </w:r>
    </w:p>
    <w:p w14:paraId="6E2E5839">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5）绩效评价指标的设置将定量指标与定性指标相结合，系统反映财政支出所产生的社会效益和经济效益等。 </w:t>
      </w:r>
    </w:p>
    <w:p w14:paraId="4FEA8FE7">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评价小组通过案卷研究、实地核查等方式，针对该项目绩效评价指标，对该项目包含进行综合打分（打分采用百分制），形成对项目的评价结果。根据综合评分，按照“优”“良”“合格”“不合规”确定评价等级，总分值100分，综合绩效级别分别为： </w:t>
      </w:r>
    </w:p>
    <w:p w14:paraId="4C414D0C">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优：高于或等于90分（含）； </w:t>
      </w:r>
    </w:p>
    <w:p w14:paraId="6D29C4E1">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良：80分（含）-90分； </w:t>
      </w:r>
    </w:p>
    <w:p w14:paraId="2BAEEC68">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合格：60分（含）-80分； </w:t>
      </w:r>
    </w:p>
    <w:p w14:paraId="341BE80A">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不合规：低于60分。 </w:t>
      </w:r>
    </w:p>
    <w:p w14:paraId="016569DD">
      <w:pPr>
        <w:numPr>
          <w:ilvl w:val="0"/>
          <w:numId w:val="0"/>
        </w:numPr>
        <w:spacing w:line="500" w:lineRule="exact"/>
        <w:ind w:left="15" w:leftChars="7" w:firstLine="403" w:firstLineChars="144"/>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指标体系共包含3项一级指标、5项二级指标、5项三级指标，对党组服务群众进行综合评价。评价体系涵盖产出指标、效益指标、满意度指标三个方面，采用百分制的计分方式。</w:t>
      </w:r>
    </w:p>
    <w:p w14:paraId="1ADBE2B1">
      <w:pPr>
        <w:numPr>
          <w:ilvl w:val="0"/>
          <w:numId w:val="0"/>
        </w:numPr>
        <w:spacing w:line="500" w:lineRule="exact"/>
        <w:ind w:left="15" w:leftChars="7" w:firstLine="405" w:firstLineChars="144"/>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评价体系明细表</w:t>
      </w:r>
    </w:p>
    <w:tbl>
      <w:tblPr>
        <w:tblStyle w:val="4"/>
        <w:tblW w:w="8283"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0"/>
        <w:gridCol w:w="793"/>
        <w:gridCol w:w="1585"/>
        <w:gridCol w:w="365"/>
        <w:gridCol w:w="2276"/>
        <w:gridCol w:w="1334"/>
        <w:gridCol w:w="970"/>
      </w:tblGrid>
      <w:tr w14:paraId="374E3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753" w:type="dxa"/>
            <w:gridSpan w:val="2"/>
            <w:tcBorders>
              <w:top w:val="dotted" w:color="000000" w:sz="4" w:space="0"/>
              <w:left w:val="nil"/>
              <w:bottom w:val="dotted" w:color="000000" w:sz="4" w:space="0"/>
              <w:right w:val="dotted" w:color="000000" w:sz="4" w:space="0"/>
            </w:tcBorders>
            <w:shd w:val="clear" w:color="auto" w:fill="auto"/>
            <w:noWrap w:val="0"/>
            <w:vAlign w:val="center"/>
          </w:tcPr>
          <w:p w14:paraId="51C3CB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项目名称</w:t>
            </w:r>
          </w:p>
        </w:tc>
        <w:tc>
          <w:tcPr>
            <w:tcW w:w="6530" w:type="dxa"/>
            <w:gridSpan w:val="5"/>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47C4173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党组织服务群众专项</w:t>
            </w:r>
            <w:r>
              <w:rPr>
                <w:rFonts w:hint="eastAsia" w:ascii="宋体" w:hAnsi="宋体" w:cs="宋体"/>
                <w:i w:val="0"/>
                <w:iCs w:val="0"/>
                <w:color w:val="000000"/>
                <w:kern w:val="0"/>
                <w:sz w:val="20"/>
                <w:szCs w:val="20"/>
                <w:u w:val="none"/>
                <w:lang w:val="en-US" w:eastAsia="zh-CN" w:bidi="ar"/>
              </w:rPr>
              <w:t>经费</w:t>
            </w:r>
          </w:p>
        </w:tc>
      </w:tr>
      <w:tr w14:paraId="1FC75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53" w:type="dxa"/>
            <w:gridSpan w:val="2"/>
            <w:vMerge w:val="restart"/>
            <w:tcBorders>
              <w:top w:val="dotted" w:color="000000" w:sz="4" w:space="0"/>
              <w:left w:val="nil"/>
              <w:bottom w:val="dotted" w:color="000000" w:sz="4" w:space="0"/>
              <w:right w:val="dotted" w:color="000000" w:sz="4" w:space="0"/>
            </w:tcBorders>
            <w:noWrap w:val="0"/>
            <w:vAlign w:val="center"/>
          </w:tcPr>
          <w:p w14:paraId="24667F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w:t>
            </w:r>
          </w:p>
          <w:p w14:paraId="3D7D0A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（万元）</w:t>
            </w:r>
          </w:p>
        </w:tc>
        <w:tc>
          <w:tcPr>
            <w:tcW w:w="1950" w:type="dxa"/>
            <w:gridSpan w:val="2"/>
            <w:tcBorders>
              <w:top w:val="dotted" w:color="000000" w:sz="4" w:space="0"/>
              <w:left w:val="dotted" w:color="000000" w:sz="4" w:space="0"/>
              <w:bottom w:val="dotted" w:color="000000" w:sz="4" w:space="0"/>
              <w:right w:val="dotted" w:color="000000" w:sz="4" w:space="0"/>
            </w:tcBorders>
            <w:noWrap w:val="0"/>
            <w:vAlign w:val="center"/>
          </w:tcPr>
          <w:p w14:paraId="456906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276" w:type="dxa"/>
            <w:tcBorders>
              <w:top w:val="dotted" w:color="000000" w:sz="4" w:space="0"/>
              <w:left w:val="dotted" w:color="000000" w:sz="4" w:space="0"/>
              <w:bottom w:val="dotted" w:color="000000" w:sz="4" w:space="0"/>
              <w:right w:val="dotted" w:color="000000" w:sz="4" w:space="0"/>
            </w:tcBorders>
            <w:noWrap w:val="0"/>
            <w:vAlign w:val="center"/>
          </w:tcPr>
          <w:p w14:paraId="613F9A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年初预算数</w:t>
            </w:r>
          </w:p>
        </w:tc>
        <w:tc>
          <w:tcPr>
            <w:tcW w:w="1334" w:type="dxa"/>
            <w:tcBorders>
              <w:top w:val="dotted" w:color="000000" w:sz="4" w:space="0"/>
              <w:left w:val="dotted" w:color="000000" w:sz="4" w:space="0"/>
              <w:bottom w:val="dotted" w:color="000000" w:sz="4" w:space="0"/>
              <w:right w:val="dotted" w:color="000000" w:sz="4" w:space="0"/>
            </w:tcBorders>
            <w:noWrap w:val="0"/>
            <w:vAlign w:val="center"/>
          </w:tcPr>
          <w:p w14:paraId="7B8517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全年预算数</w:t>
            </w:r>
          </w:p>
        </w:tc>
        <w:tc>
          <w:tcPr>
            <w:tcW w:w="970" w:type="dxa"/>
            <w:tcBorders>
              <w:top w:val="dotted" w:color="000000" w:sz="4" w:space="0"/>
              <w:left w:val="dotted" w:color="000000" w:sz="4" w:space="0"/>
              <w:bottom w:val="dotted" w:color="000000" w:sz="4" w:space="0"/>
              <w:right w:val="nil"/>
            </w:tcBorders>
            <w:noWrap w:val="0"/>
            <w:vAlign w:val="center"/>
          </w:tcPr>
          <w:p w14:paraId="110461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分值</w:t>
            </w:r>
          </w:p>
        </w:tc>
      </w:tr>
      <w:tr w14:paraId="6012F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753" w:type="dxa"/>
            <w:gridSpan w:val="2"/>
            <w:vMerge w:val="continue"/>
            <w:tcBorders>
              <w:top w:val="dotted" w:color="000000" w:sz="4" w:space="0"/>
              <w:left w:val="nil"/>
              <w:bottom w:val="dotted" w:color="000000" w:sz="4" w:space="0"/>
              <w:right w:val="dotted" w:color="000000" w:sz="4" w:space="0"/>
            </w:tcBorders>
            <w:noWrap w:val="0"/>
            <w:vAlign w:val="center"/>
          </w:tcPr>
          <w:p w14:paraId="0A58463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950" w:type="dxa"/>
            <w:gridSpan w:val="2"/>
            <w:tcBorders>
              <w:top w:val="dotted" w:color="000000" w:sz="4" w:space="0"/>
              <w:left w:val="dotted" w:color="000000" w:sz="4" w:space="0"/>
              <w:bottom w:val="dotted" w:color="000000" w:sz="4" w:space="0"/>
              <w:right w:val="dotted" w:color="000000" w:sz="4" w:space="0"/>
            </w:tcBorders>
            <w:noWrap w:val="0"/>
            <w:vAlign w:val="center"/>
          </w:tcPr>
          <w:p w14:paraId="41F0A91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年度资金总额</w:t>
            </w:r>
          </w:p>
        </w:tc>
        <w:tc>
          <w:tcPr>
            <w:tcW w:w="2276" w:type="dxa"/>
            <w:tcBorders>
              <w:top w:val="dotted" w:color="000000" w:sz="4" w:space="0"/>
              <w:left w:val="dotted" w:color="000000" w:sz="4" w:space="0"/>
              <w:bottom w:val="dotted" w:color="000000" w:sz="4" w:space="0"/>
              <w:right w:val="dotted" w:color="000000" w:sz="4" w:space="0"/>
            </w:tcBorders>
            <w:noWrap w:val="0"/>
            <w:vAlign w:val="center"/>
          </w:tcPr>
          <w:p w14:paraId="035EB45F">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650</w:t>
            </w:r>
          </w:p>
        </w:tc>
        <w:tc>
          <w:tcPr>
            <w:tcW w:w="1334" w:type="dxa"/>
            <w:tcBorders>
              <w:top w:val="dotted" w:color="000000" w:sz="4" w:space="0"/>
              <w:left w:val="dotted" w:color="000000" w:sz="4" w:space="0"/>
              <w:bottom w:val="dotted" w:color="000000" w:sz="4" w:space="0"/>
              <w:right w:val="dotted" w:color="000000" w:sz="4" w:space="0"/>
            </w:tcBorders>
            <w:noWrap w:val="0"/>
            <w:vAlign w:val="center"/>
          </w:tcPr>
          <w:p w14:paraId="72A32C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650</w:t>
            </w:r>
          </w:p>
        </w:tc>
        <w:tc>
          <w:tcPr>
            <w:tcW w:w="970" w:type="dxa"/>
            <w:tcBorders>
              <w:top w:val="dotted" w:color="000000" w:sz="4" w:space="0"/>
              <w:left w:val="dotted" w:color="000000" w:sz="4" w:space="0"/>
              <w:bottom w:val="dotted" w:color="000000" w:sz="4" w:space="0"/>
              <w:right w:val="nil"/>
            </w:tcBorders>
            <w:noWrap w:val="0"/>
            <w:vAlign w:val="center"/>
          </w:tcPr>
          <w:p w14:paraId="5FD42FB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14:paraId="6F34D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3" w:type="dxa"/>
            <w:gridSpan w:val="2"/>
            <w:vMerge w:val="continue"/>
            <w:tcBorders>
              <w:top w:val="dotted" w:color="000000" w:sz="4" w:space="0"/>
              <w:left w:val="nil"/>
              <w:bottom w:val="dotted" w:color="000000" w:sz="4" w:space="0"/>
              <w:right w:val="dotted" w:color="000000" w:sz="4" w:space="0"/>
            </w:tcBorders>
            <w:noWrap w:val="0"/>
            <w:vAlign w:val="center"/>
          </w:tcPr>
          <w:p w14:paraId="503CCF7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950" w:type="dxa"/>
            <w:gridSpan w:val="2"/>
            <w:tcBorders>
              <w:top w:val="dotted" w:color="000000" w:sz="4" w:space="0"/>
              <w:left w:val="dotted" w:color="000000" w:sz="4" w:space="0"/>
              <w:bottom w:val="dotted" w:color="000000" w:sz="4" w:space="0"/>
              <w:right w:val="dotted" w:color="000000" w:sz="4" w:space="0"/>
            </w:tcBorders>
            <w:noWrap w:val="0"/>
            <w:vAlign w:val="center"/>
          </w:tcPr>
          <w:p w14:paraId="294D407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其中：当年财政拨款</w:t>
            </w:r>
          </w:p>
        </w:tc>
        <w:tc>
          <w:tcPr>
            <w:tcW w:w="2276" w:type="dxa"/>
            <w:tcBorders>
              <w:top w:val="dotted" w:color="000000" w:sz="4" w:space="0"/>
              <w:left w:val="dotted" w:color="000000" w:sz="4" w:space="0"/>
              <w:bottom w:val="dotted" w:color="000000" w:sz="4" w:space="0"/>
              <w:right w:val="dotted" w:color="000000" w:sz="4" w:space="0"/>
            </w:tcBorders>
            <w:noWrap w:val="0"/>
            <w:vAlign w:val="center"/>
          </w:tcPr>
          <w:p w14:paraId="12E125FA">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650</w:t>
            </w:r>
          </w:p>
        </w:tc>
        <w:tc>
          <w:tcPr>
            <w:tcW w:w="1334" w:type="dxa"/>
            <w:tcBorders>
              <w:top w:val="dotted" w:color="000000" w:sz="4" w:space="0"/>
              <w:left w:val="dotted" w:color="000000" w:sz="4" w:space="0"/>
              <w:bottom w:val="dotted" w:color="000000" w:sz="4" w:space="0"/>
              <w:right w:val="dotted" w:color="000000" w:sz="4" w:space="0"/>
            </w:tcBorders>
            <w:noWrap w:val="0"/>
            <w:vAlign w:val="center"/>
          </w:tcPr>
          <w:p w14:paraId="7FBE36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650</w:t>
            </w:r>
          </w:p>
        </w:tc>
        <w:tc>
          <w:tcPr>
            <w:tcW w:w="970" w:type="dxa"/>
            <w:tcBorders>
              <w:top w:val="dotted" w:color="000000" w:sz="4" w:space="0"/>
              <w:left w:val="dotted" w:color="000000" w:sz="4" w:space="0"/>
              <w:bottom w:val="dotted" w:color="000000" w:sz="4" w:space="0"/>
              <w:right w:val="nil"/>
            </w:tcBorders>
            <w:noWrap w:val="0"/>
            <w:vAlign w:val="center"/>
          </w:tcPr>
          <w:p w14:paraId="0BDD3A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14:paraId="4F985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3" w:type="dxa"/>
            <w:gridSpan w:val="2"/>
            <w:vMerge w:val="continue"/>
            <w:tcBorders>
              <w:top w:val="dotted" w:color="000000" w:sz="4" w:space="0"/>
              <w:left w:val="nil"/>
              <w:bottom w:val="dotted" w:color="000000" w:sz="4" w:space="0"/>
              <w:right w:val="dotted" w:color="000000" w:sz="4" w:space="0"/>
            </w:tcBorders>
            <w:noWrap w:val="0"/>
            <w:vAlign w:val="center"/>
          </w:tcPr>
          <w:p w14:paraId="73AEB15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950" w:type="dxa"/>
            <w:gridSpan w:val="2"/>
            <w:tcBorders>
              <w:top w:val="dotted" w:color="000000" w:sz="4" w:space="0"/>
              <w:left w:val="dotted" w:color="000000" w:sz="4" w:space="0"/>
              <w:bottom w:val="dotted" w:color="000000" w:sz="4" w:space="0"/>
              <w:right w:val="dotted" w:color="000000" w:sz="4" w:space="0"/>
            </w:tcBorders>
            <w:noWrap w:val="0"/>
            <w:vAlign w:val="center"/>
          </w:tcPr>
          <w:p w14:paraId="53D509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2276" w:type="dxa"/>
            <w:tcBorders>
              <w:top w:val="dotted" w:color="000000" w:sz="4" w:space="0"/>
              <w:left w:val="dotted" w:color="000000" w:sz="4" w:space="0"/>
              <w:bottom w:val="dotted" w:color="000000" w:sz="4" w:space="0"/>
              <w:right w:val="dotted" w:color="000000" w:sz="4" w:space="0"/>
            </w:tcBorders>
            <w:noWrap w:val="0"/>
            <w:vAlign w:val="center"/>
          </w:tcPr>
          <w:p w14:paraId="36D63E7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34" w:type="dxa"/>
            <w:tcBorders>
              <w:top w:val="dotted" w:color="000000" w:sz="4" w:space="0"/>
              <w:left w:val="dotted" w:color="000000" w:sz="4" w:space="0"/>
              <w:bottom w:val="dotted" w:color="000000" w:sz="4" w:space="0"/>
              <w:right w:val="dotted" w:color="000000" w:sz="4" w:space="0"/>
            </w:tcBorders>
            <w:noWrap w:val="0"/>
            <w:vAlign w:val="center"/>
          </w:tcPr>
          <w:p w14:paraId="4625C08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0" w:type="dxa"/>
            <w:tcBorders>
              <w:top w:val="dotted" w:color="000000" w:sz="4" w:space="0"/>
              <w:left w:val="dotted" w:color="000000" w:sz="4" w:space="0"/>
              <w:bottom w:val="dotted" w:color="000000" w:sz="4" w:space="0"/>
              <w:right w:val="nil"/>
            </w:tcBorders>
            <w:noWrap w:val="0"/>
            <w:vAlign w:val="center"/>
          </w:tcPr>
          <w:p w14:paraId="55B259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14:paraId="050EE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1753" w:type="dxa"/>
            <w:gridSpan w:val="2"/>
            <w:vMerge w:val="continue"/>
            <w:tcBorders>
              <w:top w:val="dotted" w:color="000000" w:sz="4" w:space="0"/>
              <w:left w:val="nil"/>
              <w:bottom w:val="dotted" w:color="000000" w:sz="4" w:space="0"/>
              <w:right w:val="dotted" w:color="000000" w:sz="4" w:space="0"/>
            </w:tcBorders>
            <w:noWrap w:val="0"/>
            <w:vAlign w:val="center"/>
          </w:tcPr>
          <w:p w14:paraId="346593D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950" w:type="dxa"/>
            <w:gridSpan w:val="2"/>
            <w:tcBorders>
              <w:top w:val="dotted" w:color="000000" w:sz="4" w:space="0"/>
              <w:left w:val="dotted" w:color="000000" w:sz="4" w:space="0"/>
              <w:bottom w:val="dotted" w:color="000000" w:sz="4" w:space="0"/>
              <w:right w:val="dotted" w:color="000000" w:sz="4" w:space="0"/>
            </w:tcBorders>
            <w:noWrap w:val="0"/>
            <w:vAlign w:val="center"/>
          </w:tcPr>
          <w:p w14:paraId="387D9D9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其他资金</w:t>
            </w:r>
          </w:p>
        </w:tc>
        <w:tc>
          <w:tcPr>
            <w:tcW w:w="2276" w:type="dxa"/>
            <w:tcBorders>
              <w:top w:val="dotted" w:color="000000" w:sz="4" w:space="0"/>
              <w:left w:val="dotted" w:color="000000" w:sz="4" w:space="0"/>
              <w:bottom w:val="dotted" w:color="000000" w:sz="4" w:space="0"/>
              <w:right w:val="dotted" w:color="000000" w:sz="4" w:space="0"/>
            </w:tcBorders>
            <w:noWrap w:val="0"/>
            <w:vAlign w:val="center"/>
          </w:tcPr>
          <w:p w14:paraId="50C82C9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w:t>
            </w:r>
          </w:p>
        </w:tc>
        <w:tc>
          <w:tcPr>
            <w:tcW w:w="1334" w:type="dxa"/>
            <w:tcBorders>
              <w:top w:val="dotted" w:color="000000" w:sz="4" w:space="0"/>
              <w:left w:val="dotted" w:color="000000" w:sz="4" w:space="0"/>
              <w:bottom w:val="dotted" w:color="000000" w:sz="4" w:space="0"/>
              <w:right w:val="dotted" w:color="000000" w:sz="4" w:space="0"/>
            </w:tcBorders>
            <w:noWrap w:val="0"/>
            <w:vAlign w:val="center"/>
          </w:tcPr>
          <w:p w14:paraId="66ACE63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0" w:type="dxa"/>
            <w:tcBorders>
              <w:top w:val="dotted" w:color="000000" w:sz="4" w:space="0"/>
              <w:left w:val="dotted" w:color="000000" w:sz="4" w:space="0"/>
              <w:bottom w:val="dotted" w:color="000000" w:sz="4" w:space="0"/>
              <w:right w:val="nil"/>
            </w:tcBorders>
            <w:noWrap w:val="0"/>
            <w:vAlign w:val="center"/>
          </w:tcPr>
          <w:p w14:paraId="2B6179B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14:paraId="1213D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60" w:type="dxa"/>
            <w:vMerge w:val="restart"/>
            <w:tcBorders>
              <w:top w:val="dotted" w:color="000000" w:sz="4" w:space="0"/>
              <w:left w:val="nil"/>
              <w:bottom w:val="dotted" w:color="000000" w:sz="4" w:space="0"/>
              <w:right w:val="dotted" w:color="000000" w:sz="4" w:space="0"/>
            </w:tcBorders>
            <w:noWrap w:val="0"/>
            <w:vAlign w:val="center"/>
          </w:tcPr>
          <w:p w14:paraId="3505968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年度总体目标</w:t>
            </w:r>
          </w:p>
        </w:tc>
        <w:tc>
          <w:tcPr>
            <w:tcW w:w="5019" w:type="dxa"/>
            <w:gridSpan w:val="4"/>
            <w:tcBorders>
              <w:top w:val="dotted" w:color="000000" w:sz="4" w:space="0"/>
              <w:left w:val="dotted" w:color="000000" w:sz="4" w:space="0"/>
              <w:bottom w:val="dotted" w:color="000000" w:sz="4" w:space="0"/>
              <w:right w:val="dotted" w:color="000000" w:sz="4" w:space="0"/>
            </w:tcBorders>
            <w:noWrap w:val="0"/>
            <w:vAlign w:val="center"/>
          </w:tcPr>
          <w:p w14:paraId="2BFB57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预期目标</w:t>
            </w:r>
          </w:p>
        </w:tc>
        <w:tc>
          <w:tcPr>
            <w:tcW w:w="1334" w:type="dxa"/>
            <w:tcBorders>
              <w:top w:val="dotted" w:color="000000" w:sz="4" w:space="0"/>
              <w:left w:val="dotted" w:color="000000" w:sz="4" w:space="0"/>
              <w:bottom w:val="dotted" w:color="000000" w:sz="4" w:space="0"/>
              <w:right w:val="dotted" w:color="000000" w:sz="4" w:space="0"/>
            </w:tcBorders>
            <w:noWrap w:val="0"/>
            <w:vAlign w:val="center"/>
          </w:tcPr>
          <w:p w14:paraId="18C19C9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0" w:type="dxa"/>
            <w:tcBorders>
              <w:top w:val="dotted" w:color="000000" w:sz="4" w:space="0"/>
              <w:left w:val="dotted" w:color="000000" w:sz="4" w:space="0"/>
              <w:bottom w:val="dotted" w:color="000000" w:sz="4" w:space="0"/>
              <w:right w:val="nil"/>
            </w:tcBorders>
            <w:noWrap w:val="0"/>
            <w:vAlign w:val="center"/>
          </w:tcPr>
          <w:p w14:paraId="6A825C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4AD4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60" w:type="dxa"/>
            <w:vMerge w:val="continue"/>
            <w:tcBorders>
              <w:top w:val="dotted" w:color="000000" w:sz="4" w:space="0"/>
              <w:left w:val="nil"/>
              <w:bottom w:val="dotted" w:color="000000" w:sz="4" w:space="0"/>
              <w:right w:val="dotted" w:color="000000" w:sz="4" w:space="0"/>
            </w:tcBorders>
            <w:noWrap w:val="0"/>
            <w:vAlign w:val="center"/>
          </w:tcPr>
          <w:p w14:paraId="090692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5019" w:type="dxa"/>
            <w:gridSpan w:val="4"/>
            <w:tcBorders>
              <w:top w:val="dotted" w:color="000000" w:sz="4" w:space="0"/>
              <w:left w:val="dotted" w:color="000000" w:sz="4" w:space="0"/>
              <w:bottom w:val="dotted" w:color="000000" w:sz="4" w:space="0"/>
              <w:right w:val="dotted" w:color="000000" w:sz="4" w:space="0"/>
            </w:tcBorders>
            <w:noWrap w:val="0"/>
            <w:vAlign w:val="center"/>
          </w:tcPr>
          <w:p w14:paraId="7F81615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强化社区党组织服务群众资金保障，解决居民现实困难，增强党组织政治功能，夯实党的执政基础。</w:t>
            </w:r>
          </w:p>
        </w:tc>
        <w:tc>
          <w:tcPr>
            <w:tcW w:w="1334" w:type="dxa"/>
            <w:tcBorders>
              <w:top w:val="dotted" w:color="000000" w:sz="4" w:space="0"/>
              <w:left w:val="dotted" w:color="000000" w:sz="4" w:space="0"/>
              <w:bottom w:val="dotted" w:color="000000" w:sz="4" w:space="0"/>
              <w:right w:val="dotted" w:color="000000" w:sz="4" w:space="0"/>
            </w:tcBorders>
            <w:noWrap w:val="0"/>
            <w:vAlign w:val="top"/>
          </w:tcPr>
          <w:p w14:paraId="5AB048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0" w:type="dxa"/>
            <w:tcBorders>
              <w:top w:val="dotted" w:color="000000" w:sz="4" w:space="0"/>
              <w:left w:val="dotted" w:color="000000" w:sz="4" w:space="0"/>
              <w:bottom w:val="dotted" w:color="000000" w:sz="4" w:space="0"/>
              <w:right w:val="nil"/>
            </w:tcBorders>
            <w:noWrap w:val="0"/>
            <w:vAlign w:val="center"/>
          </w:tcPr>
          <w:p w14:paraId="123E96F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7F5E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restart"/>
            <w:tcBorders>
              <w:top w:val="dotted" w:color="000000" w:sz="4" w:space="0"/>
              <w:left w:val="nil"/>
              <w:bottom w:val="dotted" w:color="000000" w:sz="4" w:space="0"/>
              <w:right w:val="dotted" w:color="000000" w:sz="4" w:space="0"/>
            </w:tcBorders>
            <w:noWrap w:val="0"/>
            <w:vAlign w:val="center"/>
          </w:tcPr>
          <w:p w14:paraId="11E979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绩</w:t>
            </w:r>
          </w:p>
          <w:p w14:paraId="152C897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w:t>
            </w:r>
          </w:p>
          <w:p w14:paraId="316D582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14:paraId="0FE5C4C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标</w:t>
            </w:r>
          </w:p>
        </w:tc>
        <w:tc>
          <w:tcPr>
            <w:tcW w:w="793" w:type="dxa"/>
            <w:tcBorders>
              <w:top w:val="dotted" w:color="000000" w:sz="4" w:space="0"/>
              <w:left w:val="dotted" w:color="000000" w:sz="4" w:space="0"/>
              <w:bottom w:val="dotted" w:color="000000" w:sz="4" w:space="0"/>
              <w:right w:val="dotted" w:color="000000" w:sz="4" w:space="0"/>
            </w:tcBorders>
            <w:noWrap w:val="0"/>
            <w:vAlign w:val="center"/>
          </w:tcPr>
          <w:p w14:paraId="7C3B5B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一级指标</w:t>
            </w:r>
          </w:p>
        </w:tc>
        <w:tc>
          <w:tcPr>
            <w:tcW w:w="1585" w:type="dxa"/>
            <w:tcBorders>
              <w:top w:val="dotted" w:color="000000" w:sz="4" w:space="0"/>
              <w:left w:val="dotted" w:color="000000" w:sz="4" w:space="0"/>
              <w:bottom w:val="dotted" w:color="000000" w:sz="4" w:space="0"/>
              <w:right w:val="dotted" w:color="000000" w:sz="4" w:space="0"/>
            </w:tcBorders>
            <w:noWrap w:val="0"/>
            <w:vAlign w:val="center"/>
          </w:tcPr>
          <w:p w14:paraId="16367F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二级指标</w:t>
            </w:r>
          </w:p>
        </w:tc>
        <w:tc>
          <w:tcPr>
            <w:tcW w:w="2641" w:type="dxa"/>
            <w:gridSpan w:val="2"/>
            <w:tcBorders>
              <w:top w:val="dotted" w:color="000000" w:sz="4" w:space="0"/>
              <w:left w:val="dotted" w:color="000000" w:sz="4" w:space="0"/>
              <w:bottom w:val="dotted" w:color="000000" w:sz="4" w:space="0"/>
              <w:right w:val="dotted" w:color="000000" w:sz="4" w:space="0"/>
            </w:tcBorders>
            <w:noWrap w:val="0"/>
            <w:vAlign w:val="center"/>
          </w:tcPr>
          <w:p w14:paraId="625398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三级指标</w:t>
            </w:r>
          </w:p>
        </w:tc>
        <w:tc>
          <w:tcPr>
            <w:tcW w:w="1334" w:type="dxa"/>
            <w:tcBorders>
              <w:top w:val="dotted" w:color="000000" w:sz="4" w:space="0"/>
              <w:left w:val="dotted" w:color="000000" w:sz="4" w:space="0"/>
              <w:bottom w:val="dotted" w:color="000000" w:sz="4" w:space="0"/>
              <w:right w:val="dotted" w:color="000000" w:sz="4" w:space="0"/>
            </w:tcBorders>
            <w:noWrap w:val="0"/>
            <w:vAlign w:val="center"/>
          </w:tcPr>
          <w:p w14:paraId="009671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年度</w:t>
            </w:r>
          </w:p>
          <w:p w14:paraId="2B10A2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指标值</w:t>
            </w:r>
          </w:p>
        </w:tc>
        <w:tc>
          <w:tcPr>
            <w:tcW w:w="970" w:type="dxa"/>
            <w:tcBorders>
              <w:top w:val="dotted" w:color="000000" w:sz="4" w:space="0"/>
              <w:left w:val="dotted" w:color="000000" w:sz="4" w:space="0"/>
              <w:bottom w:val="dotted" w:color="000000" w:sz="4" w:space="0"/>
              <w:right w:val="nil"/>
            </w:tcBorders>
            <w:noWrap w:val="0"/>
            <w:vAlign w:val="center"/>
          </w:tcPr>
          <w:p w14:paraId="2A2A4F1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分值</w:t>
            </w:r>
          </w:p>
        </w:tc>
      </w:tr>
      <w:tr w14:paraId="08B7C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dotted" w:color="000000" w:sz="4" w:space="0"/>
              <w:left w:val="nil"/>
              <w:bottom w:val="dotted" w:color="000000" w:sz="4" w:space="0"/>
              <w:right w:val="dotted" w:color="000000" w:sz="4" w:space="0"/>
            </w:tcBorders>
            <w:shd w:val="clear" w:color="auto" w:fill="auto"/>
            <w:noWrap w:val="0"/>
            <w:vAlign w:val="center"/>
          </w:tcPr>
          <w:p w14:paraId="17B922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93"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728C7E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成本指标20%</w:t>
            </w:r>
          </w:p>
        </w:tc>
        <w:tc>
          <w:tcPr>
            <w:tcW w:w="1585"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33B21F5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经济成本指标</w:t>
            </w:r>
          </w:p>
        </w:tc>
        <w:tc>
          <w:tcPr>
            <w:tcW w:w="2641" w:type="dxa"/>
            <w:gridSpan w:val="2"/>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7A38E3C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FF0000"/>
                <w:kern w:val="0"/>
                <w:sz w:val="16"/>
                <w:szCs w:val="16"/>
                <w:u w:val="none"/>
                <w:lang w:val="en-US" w:eastAsia="zh-CN" w:bidi="ar"/>
              </w:rPr>
              <w:t>党组织服务群众专项经费</w:t>
            </w:r>
          </w:p>
        </w:tc>
        <w:tc>
          <w:tcPr>
            <w:tcW w:w="1334"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568ADB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≤650万元</w:t>
            </w:r>
          </w:p>
        </w:tc>
        <w:tc>
          <w:tcPr>
            <w:tcW w:w="970" w:type="dxa"/>
            <w:tcBorders>
              <w:top w:val="dotted" w:color="000000" w:sz="4" w:space="0"/>
              <w:left w:val="dotted" w:color="000000" w:sz="4" w:space="0"/>
              <w:bottom w:val="dotted" w:color="000000" w:sz="4" w:space="0"/>
              <w:right w:val="nil"/>
            </w:tcBorders>
            <w:noWrap w:val="0"/>
            <w:vAlign w:val="center"/>
          </w:tcPr>
          <w:p w14:paraId="6A46D63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20</w:t>
            </w:r>
          </w:p>
        </w:tc>
      </w:tr>
      <w:tr w14:paraId="7DF80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dotted" w:color="000000" w:sz="4" w:space="0"/>
              <w:left w:val="nil"/>
              <w:bottom w:val="dotted" w:color="000000" w:sz="4" w:space="0"/>
              <w:right w:val="dotted" w:color="000000" w:sz="4" w:space="0"/>
            </w:tcBorders>
            <w:shd w:val="clear" w:color="auto" w:fill="auto"/>
            <w:noWrap w:val="0"/>
            <w:vAlign w:val="center"/>
          </w:tcPr>
          <w:p w14:paraId="190015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93" w:type="dxa"/>
            <w:vMerge w:val="restart"/>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347A312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40%</w:t>
            </w:r>
          </w:p>
        </w:tc>
        <w:tc>
          <w:tcPr>
            <w:tcW w:w="1585"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59D29E5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2641" w:type="dxa"/>
            <w:gridSpan w:val="2"/>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39CAA17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社区数量</w:t>
            </w:r>
          </w:p>
        </w:tc>
        <w:tc>
          <w:tcPr>
            <w:tcW w:w="1334"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1684B7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≥63个</w:t>
            </w:r>
          </w:p>
        </w:tc>
        <w:tc>
          <w:tcPr>
            <w:tcW w:w="970" w:type="dxa"/>
            <w:tcBorders>
              <w:top w:val="dotted" w:color="000000" w:sz="4" w:space="0"/>
              <w:left w:val="dotted" w:color="000000" w:sz="4" w:space="0"/>
              <w:bottom w:val="dotted" w:color="000000" w:sz="4" w:space="0"/>
              <w:right w:val="nil"/>
            </w:tcBorders>
            <w:noWrap w:val="0"/>
            <w:vAlign w:val="center"/>
          </w:tcPr>
          <w:p w14:paraId="762C3E1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15</w:t>
            </w:r>
          </w:p>
        </w:tc>
      </w:tr>
      <w:tr w14:paraId="4B954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dotted" w:color="000000" w:sz="4" w:space="0"/>
              <w:left w:val="nil"/>
              <w:bottom w:val="dotted" w:color="000000" w:sz="4" w:space="0"/>
              <w:right w:val="dotted" w:color="000000" w:sz="4" w:space="0"/>
            </w:tcBorders>
            <w:shd w:val="clear" w:color="auto" w:fill="auto"/>
            <w:noWrap w:val="0"/>
            <w:vAlign w:val="center"/>
          </w:tcPr>
          <w:p w14:paraId="5B2DA6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93" w:type="dxa"/>
            <w:vMerge w:val="continue"/>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5793C192">
            <w:pPr>
              <w:jc w:val="center"/>
              <w:rPr>
                <w:rFonts w:hint="eastAsia" w:ascii="宋体" w:hAnsi="宋体" w:eastAsia="宋体" w:cs="宋体"/>
                <w:i w:val="0"/>
                <w:iCs w:val="0"/>
                <w:color w:val="000000"/>
                <w:kern w:val="0"/>
                <w:sz w:val="20"/>
                <w:szCs w:val="20"/>
                <w:u w:val="none"/>
                <w:lang w:val="en-US" w:eastAsia="zh-CN" w:bidi="ar"/>
              </w:rPr>
            </w:pPr>
          </w:p>
        </w:tc>
        <w:tc>
          <w:tcPr>
            <w:tcW w:w="1585"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4EAA42A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2641" w:type="dxa"/>
            <w:gridSpan w:val="2"/>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6381245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经费拨付足额率</w:t>
            </w:r>
          </w:p>
        </w:tc>
        <w:tc>
          <w:tcPr>
            <w:tcW w:w="1334"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51E3A0F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100%</w:t>
            </w:r>
          </w:p>
        </w:tc>
        <w:tc>
          <w:tcPr>
            <w:tcW w:w="970" w:type="dxa"/>
            <w:tcBorders>
              <w:top w:val="dotted" w:color="000000" w:sz="4" w:space="0"/>
              <w:left w:val="dotted" w:color="000000" w:sz="4" w:space="0"/>
              <w:bottom w:val="dotted" w:color="000000" w:sz="4" w:space="0"/>
              <w:right w:val="nil"/>
            </w:tcBorders>
            <w:noWrap w:val="0"/>
            <w:vAlign w:val="center"/>
          </w:tcPr>
          <w:p w14:paraId="2DCF6BE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15</w:t>
            </w:r>
          </w:p>
        </w:tc>
      </w:tr>
      <w:tr w14:paraId="5C0C3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dotted" w:color="000000" w:sz="4" w:space="0"/>
              <w:left w:val="nil"/>
              <w:bottom w:val="dotted" w:color="000000" w:sz="4" w:space="0"/>
              <w:right w:val="dotted" w:color="000000" w:sz="4" w:space="0"/>
            </w:tcBorders>
            <w:shd w:val="clear" w:color="auto" w:fill="auto"/>
            <w:noWrap w:val="0"/>
            <w:vAlign w:val="center"/>
          </w:tcPr>
          <w:p w14:paraId="34C4259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93" w:type="dxa"/>
            <w:vMerge w:val="continue"/>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245CCF49">
            <w:pPr>
              <w:jc w:val="center"/>
              <w:rPr>
                <w:rFonts w:hint="eastAsia" w:ascii="宋体" w:hAnsi="宋体" w:eastAsia="宋体" w:cs="宋体"/>
                <w:i w:val="0"/>
                <w:iCs w:val="0"/>
                <w:color w:val="000000"/>
                <w:kern w:val="0"/>
                <w:sz w:val="20"/>
                <w:szCs w:val="20"/>
                <w:u w:val="none"/>
                <w:lang w:val="en-US" w:eastAsia="zh-CN" w:bidi="ar"/>
              </w:rPr>
            </w:pPr>
          </w:p>
        </w:tc>
        <w:tc>
          <w:tcPr>
            <w:tcW w:w="1585"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1ACA7C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时效指标</w:t>
            </w:r>
          </w:p>
        </w:tc>
        <w:tc>
          <w:tcPr>
            <w:tcW w:w="2641" w:type="dxa"/>
            <w:gridSpan w:val="2"/>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3CE09C0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经费拨付及时率</w:t>
            </w:r>
          </w:p>
        </w:tc>
        <w:tc>
          <w:tcPr>
            <w:tcW w:w="1334"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0B51BBE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100%</w:t>
            </w:r>
          </w:p>
        </w:tc>
        <w:tc>
          <w:tcPr>
            <w:tcW w:w="970" w:type="dxa"/>
            <w:tcBorders>
              <w:top w:val="dotted" w:color="000000" w:sz="4" w:space="0"/>
              <w:left w:val="dotted" w:color="000000" w:sz="4" w:space="0"/>
              <w:bottom w:val="dotted" w:color="000000" w:sz="4" w:space="0"/>
              <w:right w:val="nil"/>
            </w:tcBorders>
            <w:noWrap w:val="0"/>
            <w:vAlign w:val="center"/>
          </w:tcPr>
          <w:p w14:paraId="31EDA36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10</w:t>
            </w:r>
          </w:p>
        </w:tc>
      </w:tr>
      <w:tr w14:paraId="73A01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60" w:type="dxa"/>
            <w:vMerge w:val="continue"/>
            <w:tcBorders>
              <w:top w:val="dotted" w:color="000000" w:sz="4" w:space="0"/>
              <w:left w:val="nil"/>
              <w:bottom w:val="dotted" w:color="000000" w:sz="4" w:space="0"/>
              <w:right w:val="dotted" w:color="000000" w:sz="4" w:space="0"/>
            </w:tcBorders>
            <w:shd w:val="clear" w:color="auto" w:fill="auto"/>
            <w:noWrap w:val="0"/>
            <w:vAlign w:val="center"/>
          </w:tcPr>
          <w:p w14:paraId="32F5360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93"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13F390C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效益指标20%</w:t>
            </w:r>
          </w:p>
        </w:tc>
        <w:tc>
          <w:tcPr>
            <w:tcW w:w="1585" w:type="dxa"/>
            <w:tcBorders>
              <w:top w:val="dotted" w:color="000000" w:sz="4" w:space="0"/>
              <w:left w:val="dotted" w:color="000000" w:sz="4" w:space="0"/>
              <w:bottom w:val="dotted" w:color="000000" w:sz="4" w:space="0"/>
              <w:right w:val="dotted" w:color="000000" w:sz="4" w:space="0"/>
            </w:tcBorders>
            <w:shd w:val="clear" w:color="auto" w:fill="auto"/>
            <w:noWrap/>
            <w:vAlign w:val="center"/>
          </w:tcPr>
          <w:p w14:paraId="5524EB6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2641" w:type="dxa"/>
            <w:gridSpan w:val="2"/>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6B567AF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FF0000"/>
                <w:kern w:val="0"/>
                <w:sz w:val="16"/>
                <w:szCs w:val="16"/>
                <w:u w:val="none"/>
                <w:lang w:val="en-US" w:eastAsia="zh-CN" w:bidi="ar"/>
              </w:rPr>
              <w:t>提升党组织服务能力</w:t>
            </w:r>
          </w:p>
        </w:tc>
        <w:tc>
          <w:tcPr>
            <w:tcW w:w="1334"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5436D12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提升</w:t>
            </w:r>
          </w:p>
        </w:tc>
        <w:tc>
          <w:tcPr>
            <w:tcW w:w="970" w:type="dxa"/>
            <w:tcBorders>
              <w:top w:val="dotted" w:color="000000" w:sz="4" w:space="0"/>
              <w:left w:val="dotted" w:color="000000" w:sz="4" w:space="0"/>
              <w:bottom w:val="dotted" w:color="000000" w:sz="4" w:space="0"/>
              <w:right w:val="nil"/>
            </w:tcBorders>
            <w:noWrap w:val="0"/>
            <w:vAlign w:val="center"/>
          </w:tcPr>
          <w:p w14:paraId="2C8BDA5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14:paraId="17967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60" w:type="dxa"/>
            <w:vMerge w:val="continue"/>
            <w:tcBorders>
              <w:top w:val="dotted" w:color="000000" w:sz="4" w:space="0"/>
              <w:left w:val="nil"/>
              <w:bottom w:val="dotted" w:color="000000" w:sz="4" w:space="0"/>
              <w:right w:val="dotted" w:color="000000" w:sz="4" w:space="0"/>
            </w:tcBorders>
            <w:shd w:val="clear" w:color="auto" w:fill="auto"/>
            <w:noWrap w:val="0"/>
            <w:vAlign w:val="center"/>
          </w:tcPr>
          <w:p w14:paraId="2451092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93"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044D952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满意度指标10%</w:t>
            </w:r>
          </w:p>
        </w:tc>
        <w:tc>
          <w:tcPr>
            <w:tcW w:w="1585"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0EFF058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服务对象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满意度指标</w:t>
            </w:r>
          </w:p>
        </w:tc>
        <w:tc>
          <w:tcPr>
            <w:tcW w:w="2641" w:type="dxa"/>
            <w:gridSpan w:val="2"/>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150411F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FF0000"/>
                <w:kern w:val="0"/>
                <w:sz w:val="16"/>
                <w:szCs w:val="16"/>
                <w:u w:val="none"/>
                <w:lang w:val="en-US" w:eastAsia="zh-CN" w:bidi="ar"/>
              </w:rPr>
              <w:t>辖区居民满意度</w:t>
            </w:r>
          </w:p>
        </w:tc>
        <w:tc>
          <w:tcPr>
            <w:tcW w:w="1334"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5AEDE06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≥90%</w:t>
            </w:r>
          </w:p>
        </w:tc>
        <w:tc>
          <w:tcPr>
            <w:tcW w:w="970" w:type="dxa"/>
            <w:tcBorders>
              <w:top w:val="dotted" w:color="000000" w:sz="4" w:space="0"/>
              <w:left w:val="dotted" w:color="000000" w:sz="4" w:space="0"/>
              <w:bottom w:val="dotted" w:color="000000" w:sz="4" w:space="0"/>
              <w:right w:val="nil"/>
            </w:tcBorders>
            <w:noWrap w:val="0"/>
            <w:vAlign w:val="center"/>
          </w:tcPr>
          <w:p w14:paraId="1EEF8A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14:paraId="075DE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7313" w:type="dxa"/>
            <w:gridSpan w:val="6"/>
            <w:tcBorders>
              <w:top w:val="dotted" w:color="000000" w:sz="4" w:space="0"/>
              <w:left w:val="nil"/>
              <w:bottom w:val="dotted" w:color="000000" w:sz="4" w:space="0"/>
              <w:right w:val="dotted" w:color="000000" w:sz="4" w:space="0"/>
            </w:tcBorders>
            <w:noWrap w:val="0"/>
            <w:vAlign w:val="center"/>
          </w:tcPr>
          <w:p w14:paraId="01716FF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总分</w:t>
            </w:r>
          </w:p>
        </w:tc>
        <w:tc>
          <w:tcPr>
            <w:tcW w:w="970" w:type="dxa"/>
            <w:tcBorders>
              <w:top w:val="dotted" w:color="000000" w:sz="4" w:space="0"/>
              <w:left w:val="dotted" w:color="000000" w:sz="4" w:space="0"/>
              <w:bottom w:val="dotted" w:color="000000" w:sz="4" w:space="0"/>
              <w:right w:val="nil"/>
            </w:tcBorders>
            <w:noWrap w:val="0"/>
            <w:vAlign w:val="center"/>
          </w:tcPr>
          <w:p w14:paraId="528041D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r>
    </w:tbl>
    <w:p w14:paraId="3A822B2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（3）绩效评价方法。包括指标评价、数据采集和社会调查中所采用的方法。</w:t>
      </w:r>
    </w:p>
    <w:p w14:paraId="0F24AFC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4.绩效评价实施过程</w:t>
      </w:r>
    </w:p>
    <w:p w14:paraId="02B313A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（1）数据填报和采集。</w:t>
      </w:r>
    </w:p>
    <w:p w14:paraId="000D37D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（2）数据分析和撰写报告。</w:t>
      </w:r>
    </w:p>
    <w:p w14:paraId="7627066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firstLineChars="139"/>
        <w:textAlignment w:val="baseline"/>
        <w:rPr>
          <w:rFonts w:ascii="宋体" w:hAnsi="宋体" w:eastAsia="宋体" w:cs="宋体"/>
          <w:sz w:val="31"/>
          <w:szCs w:val="31"/>
        </w:rPr>
      </w:pPr>
      <w:r>
        <w:rPr>
          <w:rFonts w:hint="eastAsia" w:ascii="仿宋" w:hAnsi="仿宋" w:eastAsia="仿宋" w:cs="仿宋"/>
          <w:spacing w:val="33"/>
          <w:sz w:val="31"/>
          <w:szCs w:val="31"/>
          <w:lang w:eastAsia="zh-CN"/>
        </w:rPr>
        <w:t>（</w:t>
      </w:r>
      <w:r>
        <w:rPr>
          <w:rFonts w:ascii="仿宋" w:hAnsi="仿宋" w:eastAsia="仿宋" w:cs="仿宋"/>
          <w:spacing w:val="17"/>
          <w:sz w:val="31"/>
          <w:szCs w:val="31"/>
        </w:rPr>
        <w:t>二</w:t>
      </w:r>
      <w:r>
        <w:rPr>
          <w:rFonts w:hint="eastAsia" w:ascii="仿宋" w:hAnsi="仿宋" w:eastAsia="仿宋" w:cs="仿宋"/>
          <w:spacing w:val="17"/>
          <w:sz w:val="31"/>
          <w:szCs w:val="31"/>
          <w:lang w:eastAsia="zh-CN"/>
        </w:rPr>
        <w:t>）</w:t>
      </w:r>
      <w:r>
        <w:rPr>
          <w:rFonts w:ascii="仿宋" w:hAnsi="仿宋" w:eastAsia="仿宋" w:cs="仿宋"/>
          <w:spacing w:val="17"/>
          <w:sz w:val="31"/>
          <w:szCs w:val="31"/>
        </w:rPr>
        <w:t xml:space="preserve"> 项目绩效自评结果。</w:t>
      </w:r>
    </w:p>
    <w:p w14:paraId="6DCC08E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1.评价结果</w:t>
      </w:r>
    </w:p>
    <w:p w14:paraId="5BA4026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对照项目支出绩效评价指标，区委组织部项目支出绩效自评为92.75分。扣分主要原因：一是产出指标中的数量指标不达标，扣7.25分。</w:t>
      </w:r>
    </w:p>
    <w:p w14:paraId="3166E467">
      <w:pPr>
        <w:spacing w:line="500" w:lineRule="exact"/>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评价得分表</w:t>
      </w:r>
    </w:p>
    <w:tbl>
      <w:tblPr>
        <w:tblStyle w:val="4"/>
        <w:tblW w:w="918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04"/>
        <w:gridCol w:w="589"/>
        <w:gridCol w:w="1270"/>
        <w:gridCol w:w="760"/>
        <w:gridCol w:w="1290"/>
        <w:gridCol w:w="1110"/>
        <w:gridCol w:w="1110"/>
        <w:gridCol w:w="840"/>
        <w:gridCol w:w="739"/>
        <w:gridCol w:w="868"/>
      </w:tblGrid>
      <w:tr w14:paraId="2630E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193" w:type="dxa"/>
            <w:gridSpan w:val="2"/>
            <w:tcBorders>
              <w:top w:val="dotted" w:color="000000" w:sz="4" w:space="0"/>
              <w:left w:val="nil"/>
              <w:bottom w:val="dotted" w:color="000000" w:sz="4" w:space="0"/>
              <w:right w:val="dotted" w:color="000000" w:sz="4" w:space="0"/>
            </w:tcBorders>
            <w:shd w:val="clear" w:color="auto" w:fill="auto"/>
            <w:noWrap w:val="0"/>
            <w:vAlign w:val="center"/>
          </w:tcPr>
          <w:p w14:paraId="302F75A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项目名称</w:t>
            </w:r>
          </w:p>
        </w:tc>
        <w:tc>
          <w:tcPr>
            <w:tcW w:w="7987" w:type="dxa"/>
            <w:gridSpan w:val="8"/>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5814F58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党组织服务群众专项</w:t>
            </w:r>
            <w:r>
              <w:rPr>
                <w:rFonts w:hint="eastAsia" w:ascii="宋体" w:hAnsi="宋体" w:cs="宋体"/>
                <w:i w:val="0"/>
                <w:iCs w:val="0"/>
                <w:color w:val="000000"/>
                <w:kern w:val="0"/>
                <w:sz w:val="20"/>
                <w:szCs w:val="20"/>
                <w:u w:val="none"/>
                <w:lang w:val="en-US" w:eastAsia="zh-CN" w:bidi="ar"/>
              </w:rPr>
              <w:t>经费</w:t>
            </w:r>
          </w:p>
        </w:tc>
      </w:tr>
      <w:tr w14:paraId="7369F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93" w:type="dxa"/>
            <w:gridSpan w:val="2"/>
            <w:vMerge w:val="restart"/>
            <w:tcBorders>
              <w:top w:val="dotted" w:color="000000" w:sz="4" w:space="0"/>
              <w:left w:val="nil"/>
              <w:bottom w:val="dotted" w:color="000000" w:sz="4" w:space="0"/>
              <w:right w:val="dotted" w:color="000000" w:sz="4" w:space="0"/>
            </w:tcBorders>
            <w:noWrap w:val="0"/>
            <w:vAlign w:val="center"/>
          </w:tcPr>
          <w:p w14:paraId="025013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w:t>
            </w:r>
          </w:p>
          <w:p w14:paraId="3E6EBE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（万元）</w:t>
            </w:r>
          </w:p>
        </w:tc>
        <w:tc>
          <w:tcPr>
            <w:tcW w:w="2030" w:type="dxa"/>
            <w:gridSpan w:val="2"/>
            <w:tcBorders>
              <w:top w:val="dotted" w:color="000000" w:sz="4" w:space="0"/>
              <w:left w:val="dotted" w:color="000000" w:sz="4" w:space="0"/>
              <w:bottom w:val="dotted" w:color="000000" w:sz="4" w:space="0"/>
              <w:right w:val="dotted" w:color="000000" w:sz="4" w:space="0"/>
            </w:tcBorders>
            <w:noWrap w:val="0"/>
            <w:vAlign w:val="center"/>
          </w:tcPr>
          <w:p w14:paraId="3C94772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90" w:type="dxa"/>
            <w:tcBorders>
              <w:top w:val="dotted" w:color="000000" w:sz="4" w:space="0"/>
              <w:left w:val="dotted" w:color="000000" w:sz="4" w:space="0"/>
              <w:bottom w:val="dotted" w:color="000000" w:sz="4" w:space="0"/>
              <w:right w:val="dotted" w:color="000000" w:sz="4" w:space="0"/>
            </w:tcBorders>
            <w:noWrap w:val="0"/>
            <w:vAlign w:val="center"/>
          </w:tcPr>
          <w:p w14:paraId="7C62F97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年初预算数</w:t>
            </w: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2EDB7C6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全年预算数</w:t>
            </w: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69A2DB3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全年执行数</w:t>
            </w: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2189263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分值</w:t>
            </w:r>
          </w:p>
        </w:tc>
        <w:tc>
          <w:tcPr>
            <w:tcW w:w="739" w:type="dxa"/>
            <w:tcBorders>
              <w:top w:val="dotted" w:color="000000" w:sz="4" w:space="0"/>
              <w:left w:val="dotted" w:color="000000" w:sz="4" w:space="0"/>
              <w:bottom w:val="dotted" w:color="000000" w:sz="4" w:space="0"/>
              <w:right w:val="dotted" w:color="000000" w:sz="4" w:space="0"/>
            </w:tcBorders>
            <w:noWrap w:val="0"/>
            <w:vAlign w:val="center"/>
          </w:tcPr>
          <w:p w14:paraId="2FE5542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执行率</w:t>
            </w:r>
          </w:p>
        </w:tc>
        <w:tc>
          <w:tcPr>
            <w:tcW w:w="868" w:type="dxa"/>
            <w:tcBorders>
              <w:top w:val="dotted" w:color="000000" w:sz="4" w:space="0"/>
              <w:left w:val="dotted" w:color="000000" w:sz="4" w:space="0"/>
              <w:bottom w:val="dotted" w:color="000000" w:sz="4" w:space="0"/>
              <w:right w:val="nil"/>
            </w:tcBorders>
            <w:noWrap w:val="0"/>
            <w:vAlign w:val="center"/>
          </w:tcPr>
          <w:p w14:paraId="29820D7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得分</w:t>
            </w:r>
          </w:p>
        </w:tc>
      </w:tr>
      <w:tr w14:paraId="34025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3" w:type="dxa"/>
            <w:gridSpan w:val="2"/>
            <w:vMerge w:val="continue"/>
            <w:tcBorders>
              <w:top w:val="dotted" w:color="000000" w:sz="4" w:space="0"/>
              <w:left w:val="nil"/>
              <w:bottom w:val="dotted" w:color="000000" w:sz="4" w:space="0"/>
              <w:right w:val="dotted" w:color="000000" w:sz="4" w:space="0"/>
            </w:tcBorders>
            <w:noWrap w:val="0"/>
            <w:vAlign w:val="center"/>
          </w:tcPr>
          <w:p w14:paraId="20F54978">
            <w:pPr>
              <w:jc w:val="center"/>
              <w:rPr>
                <w:rFonts w:hint="eastAsia" w:ascii="宋体" w:hAnsi="宋体" w:eastAsia="宋体" w:cs="宋体"/>
                <w:i w:val="0"/>
                <w:iCs w:val="0"/>
                <w:color w:val="000000"/>
                <w:kern w:val="0"/>
                <w:sz w:val="20"/>
                <w:szCs w:val="20"/>
                <w:u w:val="none"/>
                <w:lang w:val="en-US" w:eastAsia="zh-CN" w:bidi="ar"/>
              </w:rPr>
            </w:pPr>
          </w:p>
        </w:tc>
        <w:tc>
          <w:tcPr>
            <w:tcW w:w="2030" w:type="dxa"/>
            <w:gridSpan w:val="2"/>
            <w:tcBorders>
              <w:top w:val="dotted" w:color="000000" w:sz="4" w:space="0"/>
              <w:left w:val="dotted" w:color="000000" w:sz="4" w:space="0"/>
              <w:bottom w:val="dotted" w:color="000000" w:sz="4" w:space="0"/>
              <w:right w:val="dotted" w:color="000000" w:sz="4" w:space="0"/>
            </w:tcBorders>
            <w:noWrap w:val="0"/>
            <w:vAlign w:val="center"/>
          </w:tcPr>
          <w:p w14:paraId="53BBB45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年度资金总额</w:t>
            </w:r>
          </w:p>
        </w:tc>
        <w:tc>
          <w:tcPr>
            <w:tcW w:w="1290" w:type="dxa"/>
            <w:tcBorders>
              <w:top w:val="dotted" w:color="000000" w:sz="4" w:space="0"/>
              <w:left w:val="dotted" w:color="000000" w:sz="4" w:space="0"/>
              <w:bottom w:val="dotted" w:color="000000" w:sz="4" w:space="0"/>
              <w:right w:val="dotted" w:color="000000" w:sz="4" w:space="0"/>
            </w:tcBorders>
            <w:noWrap w:val="0"/>
            <w:vAlign w:val="center"/>
          </w:tcPr>
          <w:p w14:paraId="5BF03B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650</w:t>
            </w: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34A138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650</w:t>
            </w: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2ECAAE3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650</w:t>
            </w: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700D549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739" w:type="dxa"/>
            <w:tcBorders>
              <w:top w:val="dotted" w:color="000000" w:sz="4" w:space="0"/>
              <w:left w:val="dotted" w:color="000000" w:sz="4" w:space="0"/>
              <w:bottom w:val="dotted" w:color="000000" w:sz="4" w:space="0"/>
              <w:right w:val="dotted" w:color="000000" w:sz="4" w:space="0"/>
            </w:tcBorders>
            <w:noWrap w:val="0"/>
            <w:vAlign w:val="center"/>
          </w:tcPr>
          <w:p w14:paraId="40C6F99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868" w:type="dxa"/>
            <w:tcBorders>
              <w:top w:val="dotted" w:color="000000" w:sz="4" w:space="0"/>
              <w:left w:val="dotted" w:color="000000" w:sz="4" w:space="0"/>
              <w:bottom w:val="dotted" w:color="000000" w:sz="4" w:space="0"/>
              <w:right w:val="nil"/>
            </w:tcBorders>
            <w:noWrap w:val="0"/>
            <w:vAlign w:val="center"/>
          </w:tcPr>
          <w:p w14:paraId="45F8F77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14:paraId="0D62D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93" w:type="dxa"/>
            <w:gridSpan w:val="2"/>
            <w:vMerge w:val="continue"/>
            <w:tcBorders>
              <w:top w:val="dotted" w:color="000000" w:sz="4" w:space="0"/>
              <w:left w:val="nil"/>
              <w:bottom w:val="dotted" w:color="000000" w:sz="4" w:space="0"/>
              <w:right w:val="dotted" w:color="000000" w:sz="4" w:space="0"/>
            </w:tcBorders>
            <w:noWrap w:val="0"/>
            <w:vAlign w:val="center"/>
          </w:tcPr>
          <w:p w14:paraId="4FD8B1EE">
            <w:pPr>
              <w:jc w:val="center"/>
              <w:rPr>
                <w:rFonts w:hint="eastAsia" w:ascii="宋体" w:hAnsi="宋体" w:eastAsia="宋体" w:cs="宋体"/>
                <w:i w:val="0"/>
                <w:iCs w:val="0"/>
                <w:color w:val="000000"/>
                <w:kern w:val="0"/>
                <w:sz w:val="20"/>
                <w:szCs w:val="20"/>
                <w:u w:val="none"/>
                <w:lang w:val="en-US" w:eastAsia="zh-CN" w:bidi="ar"/>
              </w:rPr>
            </w:pPr>
          </w:p>
        </w:tc>
        <w:tc>
          <w:tcPr>
            <w:tcW w:w="2030" w:type="dxa"/>
            <w:gridSpan w:val="2"/>
            <w:tcBorders>
              <w:top w:val="dotted" w:color="000000" w:sz="4" w:space="0"/>
              <w:left w:val="dotted" w:color="000000" w:sz="4" w:space="0"/>
              <w:bottom w:val="dotted" w:color="000000" w:sz="4" w:space="0"/>
              <w:right w:val="dotted" w:color="000000" w:sz="4" w:space="0"/>
            </w:tcBorders>
            <w:noWrap w:val="0"/>
            <w:vAlign w:val="center"/>
          </w:tcPr>
          <w:p w14:paraId="0BCDE1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其中：当年财政拨款</w:t>
            </w:r>
          </w:p>
        </w:tc>
        <w:tc>
          <w:tcPr>
            <w:tcW w:w="1290" w:type="dxa"/>
            <w:tcBorders>
              <w:top w:val="dotted" w:color="000000" w:sz="4" w:space="0"/>
              <w:left w:val="dotted" w:color="000000" w:sz="4" w:space="0"/>
              <w:bottom w:val="dotted" w:color="000000" w:sz="4" w:space="0"/>
              <w:right w:val="dotted" w:color="000000" w:sz="4" w:space="0"/>
            </w:tcBorders>
            <w:noWrap w:val="0"/>
            <w:vAlign w:val="center"/>
          </w:tcPr>
          <w:p w14:paraId="3E22AD0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650</w:t>
            </w: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51AC3B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650</w:t>
            </w: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3F5065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650</w:t>
            </w: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241158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739" w:type="dxa"/>
            <w:tcBorders>
              <w:top w:val="dotted" w:color="000000" w:sz="4" w:space="0"/>
              <w:left w:val="dotted" w:color="000000" w:sz="4" w:space="0"/>
              <w:bottom w:val="dotted" w:color="000000" w:sz="4" w:space="0"/>
              <w:right w:val="dotted" w:color="000000" w:sz="4" w:space="0"/>
            </w:tcBorders>
            <w:noWrap w:val="0"/>
            <w:vAlign w:val="center"/>
          </w:tcPr>
          <w:p w14:paraId="626E9682">
            <w:pPr>
              <w:jc w:val="center"/>
              <w:rPr>
                <w:rFonts w:hint="eastAsia" w:ascii="宋体" w:hAnsi="宋体" w:eastAsia="宋体" w:cs="宋体"/>
                <w:i w:val="0"/>
                <w:iCs w:val="0"/>
                <w:color w:val="000000"/>
                <w:kern w:val="0"/>
                <w:sz w:val="20"/>
                <w:szCs w:val="20"/>
                <w:u w:val="none"/>
                <w:lang w:val="en-US" w:eastAsia="zh-CN" w:bidi="ar"/>
              </w:rPr>
            </w:pPr>
          </w:p>
        </w:tc>
        <w:tc>
          <w:tcPr>
            <w:tcW w:w="868" w:type="dxa"/>
            <w:tcBorders>
              <w:top w:val="dotted" w:color="000000" w:sz="4" w:space="0"/>
              <w:left w:val="dotted" w:color="000000" w:sz="4" w:space="0"/>
              <w:bottom w:val="dotted" w:color="000000" w:sz="4" w:space="0"/>
              <w:right w:val="nil"/>
            </w:tcBorders>
            <w:noWrap w:val="0"/>
            <w:vAlign w:val="center"/>
          </w:tcPr>
          <w:p w14:paraId="7B37A63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14:paraId="12695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93" w:type="dxa"/>
            <w:gridSpan w:val="2"/>
            <w:vMerge w:val="continue"/>
            <w:tcBorders>
              <w:top w:val="dotted" w:color="000000" w:sz="4" w:space="0"/>
              <w:left w:val="nil"/>
              <w:bottom w:val="dotted" w:color="000000" w:sz="4" w:space="0"/>
              <w:right w:val="dotted" w:color="000000" w:sz="4" w:space="0"/>
            </w:tcBorders>
            <w:noWrap w:val="0"/>
            <w:vAlign w:val="center"/>
          </w:tcPr>
          <w:p w14:paraId="57F7DB55">
            <w:pPr>
              <w:jc w:val="center"/>
              <w:rPr>
                <w:rFonts w:hint="eastAsia" w:ascii="宋体" w:hAnsi="宋体" w:eastAsia="宋体" w:cs="宋体"/>
                <w:i w:val="0"/>
                <w:iCs w:val="0"/>
                <w:color w:val="000000"/>
                <w:kern w:val="0"/>
                <w:sz w:val="20"/>
                <w:szCs w:val="20"/>
                <w:u w:val="none"/>
                <w:lang w:val="en-US" w:eastAsia="zh-CN" w:bidi="ar"/>
              </w:rPr>
            </w:pPr>
          </w:p>
        </w:tc>
        <w:tc>
          <w:tcPr>
            <w:tcW w:w="2030" w:type="dxa"/>
            <w:gridSpan w:val="2"/>
            <w:tcBorders>
              <w:top w:val="dotted" w:color="000000" w:sz="4" w:space="0"/>
              <w:left w:val="dotted" w:color="000000" w:sz="4" w:space="0"/>
              <w:bottom w:val="dotted" w:color="000000" w:sz="4" w:space="0"/>
              <w:right w:val="dotted" w:color="000000" w:sz="4" w:space="0"/>
            </w:tcBorders>
            <w:noWrap w:val="0"/>
            <w:vAlign w:val="center"/>
          </w:tcPr>
          <w:p w14:paraId="19B4AC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上年结转资金</w:t>
            </w:r>
          </w:p>
        </w:tc>
        <w:tc>
          <w:tcPr>
            <w:tcW w:w="1290" w:type="dxa"/>
            <w:tcBorders>
              <w:top w:val="dotted" w:color="000000" w:sz="4" w:space="0"/>
              <w:left w:val="dotted" w:color="000000" w:sz="4" w:space="0"/>
              <w:bottom w:val="dotted" w:color="000000" w:sz="4" w:space="0"/>
              <w:right w:val="dotted" w:color="000000" w:sz="4" w:space="0"/>
            </w:tcBorders>
            <w:noWrap w:val="0"/>
            <w:vAlign w:val="center"/>
          </w:tcPr>
          <w:p w14:paraId="65E52ED4">
            <w:pPr>
              <w:rPr>
                <w:rFonts w:hint="eastAsia" w:ascii="宋体" w:hAnsi="宋体" w:eastAsia="宋体" w:cs="宋体"/>
                <w:i w:val="0"/>
                <w:iCs w:val="0"/>
                <w:color w:val="000000"/>
                <w:kern w:val="0"/>
                <w:sz w:val="20"/>
                <w:szCs w:val="20"/>
                <w:u w:val="none"/>
                <w:lang w:val="en-US" w:eastAsia="zh-CN" w:bidi="ar"/>
              </w:rPr>
            </w:pP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553D2EA9">
            <w:pPr>
              <w:rPr>
                <w:rFonts w:hint="eastAsia" w:ascii="宋体" w:hAnsi="宋体" w:eastAsia="宋体" w:cs="宋体"/>
                <w:i w:val="0"/>
                <w:iCs w:val="0"/>
                <w:color w:val="000000"/>
                <w:kern w:val="0"/>
                <w:sz w:val="20"/>
                <w:szCs w:val="20"/>
                <w:u w:val="none"/>
                <w:lang w:val="en-US" w:eastAsia="zh-CN" w:bidi="ar"/>
              </w:rPr>
            </w:pP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1A065B43">
            <w:pPr>
              <w:jc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1584AFC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739" w:type="dxa"/>
            <w:tcBorders>
              <w:top w:val="dotted" w:color="000000" w:sz="4" w:space="0"/>
              <w:left w:val="dotted" w:color="000000" w:sz="4" w:space="0"/>
              <w:bottom w:val="dotted" w:color="000000" w:sz="4" w:space="0"/>
              <w:right w:val="dotted" w:color="000000" w:sz="4" w:space="0"/>
            </w:tcBorders>
            <w:noWrap w:val="0"/>
            <w:vAlign w:val="center"/>
          </w:tcPr>
          <w:p w14:paraId="312F4C2B">
            <w:pPr>
              <w:jc w:val="center"/>
              <w:rPr>
                <w:rFonts w:hint="eastAsia" w:ascii="宋体" w:hAnsi="宋体" w:eastAsia="宋体" w:cs="宋体"/>
                <w:i w:val="0"/>
                <w:iCs w:val="0"/>
                <w:color w:val="000000"/>
                <w:kern w:val="0"/>
                <w:sz w:val="20"/>
                <w:szCs w:val="20"/>
                <w:u w:val="none"/>
                <w:lang w:val="en-US" w:eastAsia="zh-CN" w:bidi="ar"/>
              </w:rPr>
            </w:pPr>
          </w:p>
        </w:tc>
        <w:tc>
          <w:tcPr>
            <w:tcW w:w="868" w:type="dxa"/>
            <w:tcBorders>
              <w:top w:val="dotted" w:color="000000" w:sz="4" w:space="0"/>
              <w:left w:val="dotted" w:color="000000" w:sz="4" w:space="0"/>
              <w:bottom w:val="dotted" w:color="000000" w:sz="4" w:space="0"/>
              <w:right w:val="nil"/>
            </w:tcBorders>
            <w:noWrap w:val="0"/>
            <w:vAlign w:val="center"/>
          </w:tcPr>
          <w:p w14:paraId="419FF6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14:paraId="1A970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93" w:type="dxa"/>
            <w:gridSpan w:val="2"/>
            <w:vMerge w:val="continue"/>
            <w:tcBorders>
              <w:top w:val="dotted" w:color="000000" w:sz="4" w:space="0"/>
              <w:left w:val="nil"/>
              <w:bottom w:val="dotted" w:color="000000" w:sz="4" w:space="0"/>
              <w:right w:val="dotted" w:color="000000" w:sz="4" w:space="0"/>
            </w:tcBorders>
            <w:noWrap w:val="0"/>
            <w:vAlign w:val="center"/>
          </w:tcPr>
          <w:p w14:paraId="56BE5832">
            <w:pPr>
              <w:jc w:val="center"/>
              <w:rPr>
                <w:rFonts w:hint="eastAsia" w:ascii="宋体" w:hAnsi="宋体" w:eastAsia="宋体" w:cs="宋体"/>
                <w:i w:val="0"/>
                <w:iCs w:val="0"/>
                <w:color w:val="000000"/>
                <w:kern w:val="0"/>
                <w:sz w:val="20"/>
                <w:szCs w:val="20"/>
                <w:u w:val="none"/>
                <w:lang w:val="en-US" w:eastAsia="zh-CN" w:bidi="ar"/>
              </w:rPr>
            </w:pPr>
          </w:p>
        </w:tc>
        <w:tc>
          <w:tcPr>
            <w:tcW w:w="2030" w:type="dxa"/>
            <w:gridSpan w:val="2"/>
            <w:tcBorders>
              <w:top w:val="dotted" w:color="000000" w:sz="4" w:space="0"/>
              <w:left w:val="dotted" w:color="000000" w:sz="4" w:space="0"/>
              <w:bottom w:val="dotted" w:color="000000" w:sz="4" w:space="0"/>
              <w:right w:val="dotted" w:color="000000" w:sz="4" w:space="0"/>
            </w:tcBorders>
            <w:noWrap w:val="0"/>
            <w:vAlign w:val="center"/>
          </w:tcPr>
          <w:p w14:paraId="57CDDF5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290" w:type="dxa"/>
            <w:tcBorders>
              <w:top w:val="dotted" w:color="000000" w:sz="4" w:space="0"/>
              <w:left w:val="dotted" w:color="000000" w:sz="4" w:space="0"/>
              <w:bottom w:val="dotted" w:color="000000" w:sz="4" w:space="0"/>
              <w:right w:val="dotted" w:color="000000" w:sz="4" w:space="0"/>
            </w:tcBorders>
            <w:noWrap w:val="0"/>
            <w:vAlign w:val="center"/>
          </w:tcPr>
          <w:p w14:paraId="729C2B2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w:t>
            </w: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7AE532A5">
            <w:pPr>
              <w:rPr>
                <w:rFonts w:hint="eastAsia" w:ascii="宋体" w:hAnsi="宋体" w:eastAsia="宋体" w:cs="宋体"/>
                <w:i w:val="0"/>
                <w:iCs w:val="0"/>
                <w:color w:val="000000"/>
                <w:kern w:val="0"/>
                <w:sz w:val="20"/>
                <w:szCs w:val="20"/>
                <w:u w:val="none"/>
                <w:lang w:val="en-US" w:eastAsia="zh-CN" w:bidi="ar"/>
              </w:rPr>
            </w:pP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7DF4FF15">
            <w:pPr>
              <w:jc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1DFC34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739" w:type="dxa"/>
            <w:tcBorders>
              <w:top w:val="dotted" w:color="000000" w:sz="4" w:space="0"/>
              <w:left w:val="dotted" w:color="000000" w:sz="4" w:space="0"/>
              <w:bottom w:val="dotted" w:color="000000" w:sz="4" w:space="0"/>
              <w:right w:val="dotted" w:color="000000" w:sz="4" w:space="0"/>
            </w:tcBorders>
            <w:noWrap w:val="0"/>
            <w:vAlign w:val="center"/>
          </w:tcPr>
          <w:p w14:paraId="0C72013F">
            <w:pPr>
              <w:jc w:val="center"/>
              <w:rPr>
                <w:rFonts w:hint="eastAsia" w:ascii="宋体" w:hAnsi="宋体" w:eastAsia="宋体" w:cs="宋体"/>
                <w:i w:val="0"/>
                <w:iCs w:val="0"/>
                <w:color w:val="000000"/>
                <w:kern w:val="0"/>
                <w:sz w:val="20"/>
                <w:szCs w:val="20"/>
                <w:u w:val="none"/>
                <w:lang w:val="en-US" w:eastAsia="zh-CN" w:bidi="ar"/>
              </w:rPr>
            </w:pPr>
          </w:p>
        </w:tc>
        <w:tc>
          <w:tcPr>
            <w:tcW w:w="868" w:type="dxa"/>
            <w:tcBorders>
              <w:top w:val="dotted" w:color="000000" w:sz="4" w:space="0"/>
              <w:left w:val="dotted" w:color="000000" w:sz="4" w:space="0"/>
              <w:bottom w:val="dotted" w:color="000000" w:sz="4" w:space="0"/>
              <w:right w:val="nil"/>
            </w:tcBorders>
            <w:noWrap w:val="0"/>
            <w:vAlign w:val="center"/>
          </w:tcPr>
          <w:p w14:paraId="74108D6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14:paraId="6769A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04" w:type="dxa"/>
            <w:vMerge w:val="restart"/>
            <w:tcBorders>
              <w:top w:val="dotted" w:color="000000" w:sz="4" w:space="0"/>
              <w:left w:val="nil"/>
              <w:bottom w:val="dotted" w:color="000000" w:sz="4" w:space="0"/>
              <w:right w:val="dotted" w:color="000000" w:sz="4" w:space="0"/>
            </w:tcBorders>
            <w:noWrap w:val="0"/>
            <w:vAlign w:val="center"/>
          </w:tcPr>
          <w:p w14:paraId="5843F55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年度总体目标</w:t>
            </w:r>
          </w:p>
        </w:tc>
        <w:tc>
          <w:tcPr>
            <w:tcW w:w="3909" w:type="dxa"/>
            <w:gridSpan w:val="4"/>
            <w:tcBorders>
              <w:top w:val="dotted" w:color="000000" w:sz="4" w:space="0"/>
              <w:left w:val="dotted" w:color="000000" w:sz="4" w:space="0"/>
              <w:bottom w:val="dotted" w:color="000000" w:sz="4" w:space="0"/>
              <w:right w:val="dotted" w:color="000000" w:sz="4" w:space="0"/>
            </w:tcBorders>
            <w:noWrap w:val="0"/>
            <w:vAlign w:val="center"/>
          </w:tcPr>
          <w:p w14:paraId="1B06323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预期目标</w:t>
            </w: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620BEC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3557" w:type="dxa"/>
            <w:gridSpan w:val="4"/>
            <w:tcBorders>
              <w:top w:val="dotted" w:color="000000" w:sz="4" w:space="0"/>
              <w:left w:val="dotted" w:color="000000" w:sz="4" w:space="0"/>
              <w:bottom w:val="dotted" w:color="000000" w:sz="4" w:space="0"/>
              <w:right w:val="dotted" w:color="000000" w:sz="4" w:space="0"/>
            </w:tcBorders>
            <w:noWrap w:val="0"/>
            <w:vAlign w:val="center"/>
          </w:tcPr>
          <w:p w14:paraId="60D494C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实际完成情况</w:t>
            </w:r>
          </w:p>
        </w:tc>
      </w:tr>
      <w:tr w14:paraId="72B5E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04" w:type="dxa"/>
            <w:vMerge w:val="continue"/>
            <w:tcBorders>
              <w:top w:val="dotted" w:color="000000" w:sz="4" w:space="0"/>
              <w:left w:val="nil"/>
              <w:bottom w:val="dotted" w:color="000000" w:sz="4" w:space="0"/>
              <w:right w:val="dotted" w:color="000000" w:sz="4" w:space="0"/>
            </w:tcBorders>
            <w:noWrap w:val="0"/>
            <w:vAlign w:val="center"/>
          </w:tcPr>
          <w:p w14:paraId="13011484">
            <w:pPr>
              <w:jc w:val="center"/>
              <w:rPr>
                <w:rFonts w:hint="eastAsia" w:ascii="宋体" w:hAnsi="宋体" w:eastAsia="宋体" w:cs="宋体"/>
                <w:i w:val="0"/>
                <w:iCs w:val="0"/>
                <w:color w:val="000000"/>
                <w:kern w:val="0"/>
                <w:sz w:val="20"/>
                <w:szCs w:val="20"/>
                <w:u w:val="none"/>
                <w:lang w:val="en-US" w:eastAsia="zh-CN" w:bidi="ar"/>
              </w:rPr>
            </w:pPr>
          </w:p>
        </w:tc>
        <w:tc>
          <w:tcPr>
            <w:tcW w:w="3909" w:type="dxa"/>
            <w:gridSpan w:val="4"/>
            <w:tcBorders>
              <w:top w:val="dotted" w:color="000000" w:sz="4" w:space="0"/>
              <w:left w:val="dotted" w:color="000000" w:sz="4" w:space="0"/>
              <w:bottom w:val="dotted" w:color="000000" w:sz="4" w:space="0"/>
              <w:right w:val="dotted" w:color="000000" w:sz="4" w:space="0"/>
            </w:tcBorders>
            <w:noWrap w:val="0"/>
            <w:vAlign w:val="center"/>
          </w:tcPr>
          <w:p w14:paraId="7E70399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强化社区党组织服务群众资金保障，解决居民现实困难，增强党组织政治功能，夯实党的执政基础</w:t>
            </w:r>
            <w:r>
              <w:rPr>
                <w:rFonts w:hint="eastAsia" w:ascii="宋体" w:hAnsi="宋体" w:cs="宋体"/>
                <w:i w:val="0"/>
                <w:iCs w:val="0"/>
                <w:color w:val="000000"/>
                <w:kern w:val="0"/>
                <w:sz w:val="20"/>
                <w:szCs w:val="20"/>
                <w:u w:val="none"/>
                <w:lang w:val="en-US" w:eastAsia="zh-CN" w:bidi="ar"/>
              </w:rPr>
              <w:t>。</w:t>
            </w:r>
          </w:p>
          <w:p w14:paraId="53B9CB0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p w14:paraId="155A7AC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110" w:type="dxa"/>
            <w:tcBorders>
              <w:top w:val="dotted" w:color="000000" w:sz="4" w:space="0"/>
              <w:left w:val="dotted" w:color="000000" w:sz="4" w:space="0"/>
              <w:bottom w:val="dotted" w:color="000000" w:sz="4" w:space="0"/>
              <w:right w:val="dotted" w:color="000000" w:sz="4" w:space="0"/>
            </w:tcBorders>
            <w:noWrap w:val="0"/>
            <w:vAlign w:val="top"/>
          </w:tcPr>
          <w:p w14:paraId="2A9D3D5D">
            <w:pPr>
              <w:jc w:val="left"/>
              <w:rPr>
                <w:rFonts w:hint="eastAsia" w:ascii="宋体" w:hAnsi="宋体" w:eastAsia="宋体" w:cs="宋体"/>
                <w:i w:val="0"/>
                <w:iCs w:val="0"/>
                <w:color w:val="000000"/>
                <w:kern w:val="0"/>
                <w:sz w:val="20"/>
                <w:szCs w:val="20"/>
                <w:u w:val="none"/>
                <w:lang w:val="en-US" w:eastAsia="zh-CN" w:bidi="ar"/>
              </w:rPr>
            </w:pPr>
          </w:p>
        </w:tc>
        <w:tc>
          <w:tcPr>
            <w:tcW w:w="3557" w:type="dxa"/>
            <w:gridSpan w:val="4"/>
            <w:tcBorders>
              <w:top w:val="dotted" w:color="000000" w:sz="4" w:space="0"/>
              <w:left w:val="dotted" w:color="000000" w:sz="4" w:space="0"/>
              <w:bottom w:val="dotted" w:color="000000" w:sz="4" w:space="0"/>
              <w:right w:val="dotted" w:color="000000" w:sz="4" w:space="0"/>
            </w:tcBorders>
            <w:noWrap w:val="0"/>
            <w:vAlign w:val="center"/>
          </w:tcPr>
          <w:p w14:paraId="663D384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强化社区党组织服务群众资金保障，解决居民现实困难，增强党组织政治功能，夯实党的执政基础</w:t>
            </w:r>
            <w:r>
              <w:rPr>
                <w:rFonts w:hint="eastAsia" w:ascii="宋体" w:hAnsi="宋体" w:cs="宋体"/>
                <w:i w:val="0"/>
                <w:iCs w:val="0"/>
                <w:color w:val="000000"/>
                <w:kern w:val="0"/>
                <w:sz w:val="20"/>
                <w:szCs w:val="20"/>
                <w:u w:val="none"/>
                <w:lang w:val="en-US" w:eastAsia="zh-CN" w:bidi="ar"/>
              </w:rPr>
              <w:t>。</w:t>
            </w:r>
          </w:p>
          <w:p w14:paraId="34630D5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p w14:paraId="1C17FA7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14:paraId="5B396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04" w:type="dxa"/>
            <w:vMerge w:val="restart"/>
            <w:tcBorders>
              <w:top w:val="dotted" w:color="000000" w:sz="4" w:space="0"/>
              <w:left w:val="nil"/>
              <w:bottom w:val="dotted" w:color="000000" w:sz="4" w:space="0"/>
              <w:right w:val="dotted" w:color="000000" w:sz="4" w:space="0"/>
            </w:tcBorders>
            <w:noWrap w:val="0"/>
            <w:vAlign w:val="center"/>
          </w:tcPr>
          <w:p w14:paraId="62AA823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绩</w:t>
            </w:r>
          </w:p>
          <w:p w14:paraId="6D976CF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w:t>
            </w:r>
          </w:p>
          <w:p w14:paraId="1D718DB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14:paraId="456C61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标</w:t>
            </w:r>
          </w:p>
        </w:tc>
        <w:tc>
          <w:tcPr>
            <w:tcW w:w="589" w:type="dxa"/>
            <w:tcBorders>
              <w:top w:val="dotted" w:color="000000" w:sz="4" w:space="0"/>
              <w:left w:val="dotted" w:color="000000" w:sz="4" w:space="0"/>
              <w:bottom w:val="dotted" w:color="000000" w:sz="4" w:space="0"/>
              <w:right w:val="dotted" w:color="000000" w:sz="4" w:space="0"/>
            </w:tcBorders>
            <w:noWrap w:val="0"/>
            <w:vAlign w:val="center"/>
          </w:tcPr>
          <w:p w14:paraId="0D78ED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一级指标</w:t>
            </w:r>
          </w:p>
        </w:tc>
        <w:tc>
          <w:tcPr>
            <w:tcW w:w="1270" w:type="dxa"/>
            <w:tcBorders>
              <w:top w:val="dotted" w:color="000000" w:sz="4" w:space="0"/>
              <w:left w:val="dotted" w:color="000000" w:sz="4" w:space="0"/>
              <w:bottom w:val="dotted" w:color="000000" w:sz="4" w:space="0"/>
              <w:right w:val="dotted" w:color="000000" w:sz="4" w:space="0"/>
            </w:tcBorders>
            <w:noWrap w:val="0"/>
            <w:vAlign w:val="center"/>
          </w:tcPr>
          <w:p w14:paraId="32D472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二级指标</w:t>
            </w:r>
          </w:p>
        </w:tc>
        <w:tc>
          <w:tcPr>
            <w:tcW w:w="2050" w:type="dxa"/>
            <w:gridSpan w:val="2"/>
            <w:tcBorders>
              <w:top w:val="dotted" w:color="000000" w:sz="4" w:space="0"/>
              <w:left w:val="dotted" w:color="000000" w:sz="4" w:space="0"/>
              <w:bottom w:val="dotted" w:color="000000" w:sz="4" w:space="0"/>
              <w:right w:val="dotted" w:color="000000" w:sz="4" w:space="0"/>
            </w:tcBorders>
            <w:noWrap w:val="0"/>
            <w:vAlign w:val="center"/>
          </w:tcPr>
          <w:p w14:paraId="4E80353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三级指标</w:t>
            </w: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59028D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年度</w:t>
            </w:r>
          </w:p>
          <w:p w14:paraId="50516B1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指标值</w:t>
            </w: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3C93B15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实际</w:t>
            </w:r>
          </w:p>
          <w:p w14:paraId="7BE7178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完成值</w:t>
            </w: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02CCD0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分值</w:t>
            </w:r>
          </w:p>
        </w:tc>
        <w:tc>
          <w:tcPr>
            <w:tcW w:w="1607" w:type="dxa"/>
            <w:gridSpan w:val="2"/>
            <w:tcBorders>
              <w:top w:val="dotted" w:color="000000" w:sz="4" w:space="0"/>
              <w:left w:val="dotted" w:color="000000" w:sz="4" w:space="0"/>
              <w:bottom w:val="dotted" w:color="000000" w:sz="4" w:space="0"/>
              <w:right w:val="dotted" w:color="000000" w:sz="4" w:space="0"/>
            </w:tcBorders>
            <w:noWrap w:val="0"/>
            <w:vAlign w:val="center"/>
          </w:tcPr>
          <w:p w14:paraId="61966F3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得分</w:t>
            </w:r>
          </w:p>
        </w:tc>
      </w:tr>
      <w:tr w14:paraId="731A4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604" w:type="dxa"/>
            <w:vMerge w:val="continue"/>
            <w:tcBorders>
              <w:top w:val="dotted" w:color="000000" w:sz="4" w:space="0"/>
              <w:left w:val="nil"/>
              <w:bottom w:val="dotted" w:color="000000" w:sz="4" w:space="0"/>
              <w:right w:val="dotted" w:color="000000" w:sz="4" w:space="0"/>
            </w:tcBorders>
            <w:shd w:val="clear" w:color="auto" w:fill="auto"/>
            <w:noWrap w:val="0"/>
            <w:vAlign w:val="center"/>
          </w:tcPr>
          <w:p w14:paraId="11641AAF">
            <w:pPr>
              <w:jc w:val="center"/>
              <w:rPr>
                <w:rFonts w:hint="eastAsia" w:ascii="宋体" w:hAnsi="宋体" w:eastAsia="宋体" w:cs="宋体"/>
                <w:i w:val="0"/>
                <w:iCs w:val="0"/>
                <w:color w:val="000000"/>
                <w:kern w:val="0"/>
                <w:sz w:val="20"/>
                <w:szCs w:val="20"/>
                <w:u w:val="none"/>
                <w:lang w:val="en-US" w:eastAsia="zh-CN" w:bidi="ar"/>
              </w:rPr>
            </w:pPr>
          </w:p>
        </w:tc>
        <w:tc>
          <w:tcPr>
            <w:tcW w:w="589"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387C50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成本指标20%</w:t>
            </w:r>
          </w:p>
        </w:tc>
        <w:tc>
          <w:tcPr>
            <w:tcW w:w="1270"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64EC208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经济成本指标</w:t>
            </w:r>
          </w:p>
        </w:tc>
        <w:tc>
          <w:tcPr>
            <w:tcW w:w="2050" w:type="dxa"/>
            <w:gridSpan w:val="2"/>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20E839A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FF0000"/>
                <w:kern w:val="0"/>
                <w:sz w:val="16"/>
                <w:szCs w:val="16"/>
                <w:u w:val="none"/>
                <w:lang w:val="en-US" w:eastAsia="zh-CN" w:bidi="ar"/>
              </w:rPr>
              <w:t>党组织服务群众专项经费</w:t>
            </w:r>
          </w:p>
        </w:tc>
        <w:tc>
          <w:tcPr>
            <w:tcW w:w="1110"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18BAF2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≤650万元</w:t>
            </w:r>
          </w:p>
        </w:tc>
        <w:tc>
          <w:tcPr>
            <w:tcW w:w="1110"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00E6C2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≤650万元</w:t>
            </w: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317A9E50">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20</w:t>
            </w:r>
          </w:p>
        </w:tc>
        <w:tc>
          <w:tcPr>
            <w:tcW w:w="1607" w:type="dxa"/>
            <w:gridSpan w:val="2"/>
            <w:tcBorders>
              <w:top w:val="dotted" w:color="000000" w:sz="4" w:space="0"/>
              <w:left w:val="dotted" w:color="000000" w:sz="4" w:space="0"/>
              <w:bottom w:val="dotted" w:color="000000" w:sz="4" w:space="0"/>
              <w:right w:val="dotted" w:color="000000" w:sz="4" w:space="0"/>
            </w:tcBorders>
            <w:noWrap w:val="0"/>
            <w:vAlign w:val="center"/>
          </w:tcPr>
          <w:p w14:paraId="1F5B4A19">
            <w:pPr>
              <w:keepNext w:val="0"/>
              <w:keepLines w:val="0"/>
              <w:widowControl/>
              <w:suppressLineNumbers w:val="0"/>
              <w:jc w:val="righ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20</w:t>
            </w:r>
          </w:p>
        </w:tc>
      </w:tr>
      <w:tr w14:paraId="283D7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604" w:type="dxa"/>
            <w:vMerge w:val="continue"/>
            <w:tcBorders>
              <w:top w:val="dotted" w:color="000000" w:sz="4" w:space="0"/>
              <w:left w:val="nil"/>
              <w:bottom w:val="dotted" w:color="000000" w:sz="4" w:space="0"/>
              <w:right w:val="dotted" w:color="000000" w:sz="4" w:space="0"/>
            </w:tcBorders>
            <w:shd w:val="clear" w:color="auto" w:fill="auto"/>
            <w:noWrap w:val="0"/>
            <w:vAlign w:val="center"/>
          </w:tcPr>
          <w:p w14:paraId="07B4ED5B">
            <w:pPr>
              <w:jc w:val="center"/>
              <w:rPr>
                <w:rFonts w:hint="eastAsia" w:ascii="宋体" w:hAnsi="宋体" w:eastAsia="宋体" w:cs="宋体"/>
                <w:i w:val="0"/>
                <w:iCs w:val="0"/>
                <w:color w:val="000000"/>
                <w:kern w:val="0"/>
                <w:sz w:val="20"/>
                <w:szCs w:val="20"/>
                <w:u w:val="none"/>
                <w:lang w:val="en-US" w:eastAsia="zh-CN" w:bidi="ar"/>
              </w:rPr>
            </w:pPr>
          </w:p>
        </w:tc>
        <w:tc>
          <w:tcPr>
            <w:tcW w:w="589" w:type="dxa"/>
            <w:vMerge w:val="restart"/>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7A198BC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40%</w:t>
            </w:r>
          </w:p>
        </w:tc>
        <w:tc>
          <w:tcPr>
            <w:tcW w:w="1270"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0C3483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2050" w:type="dxa"/>
            <w:gridSpan w:val="2"/>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4C22625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社区数量</w:t>
            </w:r>
          </w:p>
        </w:tc>
        <w:tc>
          <w:tcPr>
            <w:tcW w:w="1110"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24D0DD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≥63个</w:t>
            </w:r>
          </w:p>
        </w:tc>
        <w:tc>
          <w:tcPr>
            <w:tcW w:w="1110"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0FE2968D">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55</w:t>
            </w: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7D36D88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15</w:t>
            </w:r>
          </w:p>
        </w:tc>
        <w:tc>
          <w:tcPr>
            <w:tcW w:w="1607" w:type="dxa"/>
            <w:gridSpan w:val="2"/>
            <w:tcBorders>
              <w:top w:val="dotted" w:color="000000" w:sz="4" w:space="0"/>
              <w:left w:val="dotted" w:color="000000" w:sz="4" w:space="0"/>
              <w:bottom w:val="dotted" w:color="000000" w:sz="4" w:space="0"/>
              <w:right w:val="dotted" w:color="000000" w:sz="4" w:space="0"/>
            </w:tcBorders>
            <w:noWrap w:val="0"/>
            <w:vAlign w:val="center"/>
          </w:tcPr>
          <w:p w14:paraId="695A7D1E">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7.75</w:t>
            </w:r>
          </w:p>
        </w:tc>
      </w:tr>
      <w:tr w14:paraId="10E79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04" w:type="dxa"/>
            <w:vMerge w:val="continue"/>
            <w:tcBorders>
              <w:top w:val="dotted" w:color="000000" w:sz="4" w:space="0"/>
              <w:left w:val="nil"/>
              <w:bottom w:val="dotted" w:color="000000" w:sz="4" w:space="0"/>
              <w:right w:val="dotted" w:color="000000" w:sz="4" w:space="0"/>
            </w:tcBorders>
            <w:shd w:val="clear" w:color="auto" w:fill="auto"/>
            <w:noWrap w:val="0"/>
            <w:vAlign w:val="center"/>
          </w:tcPr>
          <w:p w14:paraId="4C6A0FEF">
            <w:pPr>
              <w:jc w:val="center"/>
              <w:rPr>
                <w:rFonts w:hint="eastAsia" w:ascii="宋体" w:hAnsi="宋体" w:eastAsia="宋体" w:cs="宋体"/>
                <w:i w:val="0"/>
                <w:iCs w:val="0"/>
                <w:color w:val="000000"/>
                <w:kern w:val="0"/>
                <w:sz w:val="20"/>
                <w:szCs w:val="20"/>
                <w:u w:val="none"/>
                <w:lang w:val="en-US" w:eastAsia="zh-CN" w:bidi="ar"/>
              </w:rPr>
            </w:pPr>
          </w:p>
        </w:tc>
        <w:tc>
          <w:tcPr>
            <w:tcW w:w="589" w:type="dxa"/>
            <w:vMerge w:val="continue"/>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7FCD8EF9">
            <w:pPr>
              <w:jc w:val="center"/>
              <w:rPr>
                <w:rFonts w:hint="eastAsia" w:ascii="宋体" w:hAnsi="宋体" w:eastAsia="宋体" w:cs="宋体"/>
                <w:i w:val="0"/>
                <w:iCs w:val="0"/>
                <w:color w:val="000000"/>
                <w:kern w:val="0"/>
                <w:sz w:val="20"/>
                <w:szCs w:val="20"/>
                <w:u w:val="none"/>
                <w:lang w:val="en-US" w:eastAsia="zh-CN" w:bidi="ar"/>
              </w:rPr>
            </w:pPr>
          </w:p>
        </w:tc>
        <w:tc>
          <w:tcPr>
            <w:tcW w:w="1270"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797E766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2050" w:type="dxa"/>
            <w:gridSpan w:val="2"/>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2121C62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经费拨付足额率</w:t>
            </w:r>
          </w:p>
        </w:tc>
        <w:tc>
          <w:tcPr>
            <w:tcW w:w="1110"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005876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100%</w:t>
            </w: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5CFE401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6BBEC26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15</w:t>
            </w:r>
          </w:p>
        </w:tc>
        <w:tc>
          <w:tcPr>
            <w:tcW w:w="1607" w:type="dxa"/>
            <w:gridSpan w:val="2"/>
            <w:tcBorders>
              <w:top w:val="dotted" w:color="000000" w:sz="4" w:space="0"/>
              <w:left w:val="dotted" w:color="000000" w:sz="4" w:space="0"/>
              <w:bottom w:val="dotted" w:color="000000" w:sz="4" w:space="0"/>
              <w:right w:val="dotted" w:color="000000" w:sz="4" w:space="0"/>
            </w:tcBorders>
            <w:noWrap w:val="0"/>
            <w:vAlign w:val="center"/>
          </w:tcPr>
          <w:p w14:paraId="456280CD">
            <w:pPr>
              <w:jc w:val="right"/>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15</w:t>
            </w:r>
          </w:p>
        </w:tc>
      </w:tr>
      <w:tr w14:paraId="253F0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04" w:type="dxa"/>
            <w:vMerge w:val="continue"/>
            <w:tcBorders>
              <w:top w:val="dotted" w:color="000000" w:sz="4" w:space="0"/>
              <w:left w:val="nil"/>
              <w:bottom w:val="dotted" w:color="000000" w:sz="4" w:space="0"/>
              <w:right w:val="dotted" w:color="000000" w:sz="4" w:space="0"/>
            </w:tcBorders>
            <w:shd w:val="clear" w:color="auto" w:fill="auto"/>
            <w:noWrap w:val="0"/>
            <w:vAlign w:val="center"/>
          </w:tcPr>
          <w:p w14:paraId="4CDBB7B3">
            <w:pPr>
              <w:jc w:val="center"/>
              <w:rPr>
                <w:rFonts w:hint="eastAsia" w:ascii="宋体" w:hAnsi="宋体" w:eastAsia="宋体" w:cs="宋体"/>
                <w:i w:val="0"/>
                <w:iCs w:val="0"/>
                <w:color w:val="000000"/>
                <w:kern w:val="0"/>
                <w:sz w:val="20"/>
                <w:szCs w:val="20"/>
                <w:u w:val="none"/>
                <w:lang w:val="en-US" w:eastAsia="zh-CN" w:bidi="ar"/>
              </w:rPr>
            </w:pPr>
          </w:p>
        </w:tc>
        <w:tc>
          <w:tcPr>
            <w:tcW w:w="589" w:type="dxa"/>
            <w:vMerge w:val="continue"/>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649D7832">
            <w:pPr>
              <w:jc w:val="center"/>
              <w:rPr>
                <w:rFonts w:hint="eastAsia" w:ascii="宋体" w:hAnsi="宋体" w:eastAsia="宋体" w:cs="宋体"/>
                <w:i w:val="0"/>
                <w:iCs w:val="0"/>
                <w:color w:val="000000"/>
                <w:kern w:val="0"/>
                <w:sz w:val="20"/>
                <w:szCs w:val="20"/>
                <w:u w:val="none"/>
                <w:lang w:val="en-US" w:eastAsia="zh-CN" w:bidi="ar"/>
              </w:rPr>
            </w:pPr>
          </w:p>
        </w:tc>
        <w:tc>
          <w:tcPr>
            <w:tcW w:w="1270"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76F3B8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时效指标</w:t>
            </w:r>
          </w:p>
        </w:tc>
        <w:tc>
          <w:tcPr>
            <w:tcW w:w="2050" w:type="dxa"/>
            <w:gridSpan w:val="2"/>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4DAAFA3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经费拨付及时率</w:t>
            </w:r>
          </w:p>
        </w:tc>
        <w:tc>
          <w:tcPr>
            <w:tcW w:w="1110"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3276AB2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100%</w:t>
            </w:r>
          </w:p>
        </w:tc>
        <w:tc>
          <w:tcPr>
            <w:tcW w:w="1110" w:type="dxa"/>
            <w:tcBorders>
              <w:top w:val="dotted" w:color="000000" w:sz="4" w:space="0"/>
              <w:left w:val="dotted" w:color="000000" w:sz="4" w:space="0"/>
              <w:bottom w:val="dotted" w:color="000000" w:sz="4" w:space="0"/>
              <w:right w:val="dotted" w:color="000000" w:sz="4" w:space="0"/>
            </w:tcBorders>
            <w:noWrap w:val="0"/>
            <w:vAlign w:val="center"/>
          </w:tcPr>
          <w:p w14:paraId="67517E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及时</w:t>
            </w: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7B30CF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10</w:t>
            </w:r>
          </w:p>
        </w:tc>
        <w:tc>
          <w:tcPr>
            <w:tcW w:w="1607" w:type="dxa"/>
            <w:gridSpan w:val="2"/>
            <w:tcBorders>
              <w:top w:val="dotted" w:color="000000" w:sz="4" w:space="0"/>
              <w:left w:val="dotted" w:color="000000" w:sz="4" w:space="0"/>
              <w:bottom w:val="dotted" w:color="000000" w:sz="4" w:space="0"/>
              <w:right w:val="dotted" w:color="000000" w:sz="4" w:space="0"/>
            </w:tcBorders>
            <w:noWrap w:val="0"/>
            <w:vAlign w:val="center"/>
          </w:tcPr>
          <w:p w14:paraId="76EBB695">
            <w:pPr>
              <w:jc w:val="right"/>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10</w:t>
            </w:r>
          </w:p>
        </w:tc>
      </w:tr>
      <w:tr w14:paraId="2F052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04" w:type="dxa"/>
            <w:vMerge w:val="continue"/>
            <w:tcBorders>
              <w:top w:val="dotted" w:color="000000" w:sz="4" w:space="0"/>
              <w:left w:val="nil"/>
              <w:bottom w:val="dotted" w:color="000000" w:sz="4" w:space="0"/>
              <w:right w:val="dotted" w:color="000000" w:sz="4" w:space="0"/>
            </w:tcBorders>
            <w:shd w:val="clear" w:color="auto" w:fill="auto"/>
            <w:noWrap w:val="0"/>
            <w:vAlign w:val="center"/>
          </w:tcPr>
          <w:p w14:paraId="092AC881">
            <w:pPr>
              <w:jc w:val="center"/>
              <w:rPr>
                <w:rFonts w:hint="eastAsia" w:ascii="宋体" w:hAnsi="宋体" w:eastAsia="宋体" w:cs="宋体"/>
                <w:i w:val="0"/>
                <w:iCs w:val="0"/>
                <w:color w:val="000000"/>
                <w:kern w:val="0"/>
                <w:sz w:val="20"/>
                <w:szCs w:val="20"/>
                <w:u w:val="none"/>
                <w:lang w:val="en-US" w:eastAsia="zh-CN" w:bidi="ar"/>
              </w:rPr>
            </w:pPr>
          </w:p>
        </w:tc>
        <w:tc>
          <w:tcPr>
            <w:tcW w:w="589"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4DA1231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效益指标20%</w:t>
            </w:r>
          </w:p>
        </w:tc>
        <w:tc>
          <w:tcPr>
            <w:tcW w:w="1270" w:type="dxa"/>
            <w:tcBorders>
              <w:top w:val="dotted" w:color="000000" w:sz="4" w:space="0"/>
              <w:left w:val="dotted" w:color="000000" w:sz="4" w:space="0"/>
              <w:bottom w:val="dotted" w:color="000000" w:sz="4" w:space="0"/>
              <w:right w:val="dotted" w:color="000000" w:sz="4" w:space="0"/>
            </w:tcBorders>
            <w:shd w:val="clear" w:color="auto" w:fill="auto"/>
            <w:noWrap/>
            <w:vAlign w:val="center"/>
          </w:tcPr>
          <w:p w14:paraId="0CF0680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2050" w:type="dxa"/>
            <w:gridSpan w:val="2"/>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6B8B440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FF0000"/>
                <w:kern w:val="0"/>
                <w:sz w:val="16"/>
                <w:szCs w:val="16"/>
                <w:u w:val="none"/>
                <w:lang w:val="en-US" w:eastAsia="zh-CN" w:bidi="ar"/>
              </w:rPr>
              <w:t>提升党组织服务能力</w:t>
            </w:r>
          </w:p>
        </w:tc>
        <w:tc>
          <w:tcPr>
            <w:tcW w:w="1110"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3EDACF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提升</w:t>
            </w:r>
          </w:p>
        </w:tc>
        <w:tc>
          <w:tcPr>
            <w:tcW w:w="1110"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765780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效果良好</w:t>
            </w: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530ED18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1607" w:type="dxa"/>
            <w:gridSpan w:val="2"/>
            <w:tcBorders>
              <w:top w:val="dotted" w:color="000000" w:sz="4" w:space="0"/>
              <w:left w:val="dotted" w:color="000000" w:sz="4" w:space="0"/>
              <w:bottom w:val="dotted" w:color="000000" w:sz="4" w:space="0"/>
              <w:right w:val="dotted" w:color="000000" w:sz="4" w:space="0"/>
            </w:tcBorders>
            <w:noWrap w:val="0"/>
            <w:vAlign w:val="center"/>
          </w:tcPr>
          <w:p w14:paraId="2D3D8A11">
            <w:pPr>
              <w:jc w:val="right"/>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20</w:t>
            </w:r>
          </w:p>
        </w:tc>
      </w:tr>
      <w:tr w14:paraId="546E3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604" w:type="dxa"/>
            <w:vMerge w:val="continue"/>
            <w:tcBorders>
              <w:top w:val="dotted" w:color="000000" w:sz="4" w:space="0"/>
              <w:left w:val="nil"/>
              <w:bottom w:val="dotted" w:color="000000" w:sz="4" w:space="0"/>
              <w:right w:val="dotted" w:color="000000" w:sz="4" w:space="0"/>
            </w:tcBorders>
            <w:shd w:val="clear" w:color="auto" w:fill="auto"/>
            <w:noWrap w:val="0"/>
            <w:vAlign w:val="center"/>
          </w:tcPr>
          <w:p w14:paraId="76D3C977">
            <w:pPr>
              <w:jc w:val="center"/>
              <w:rPr>
                <w:rFonts w:hint="eastAsia" w:ascii="宋体" w:hAnsi="宋体" w:eastAsia="宋体" w:cs="宋体"/>
                <w:i w:val="0"/>
                <w:iCs w:val="0"/>
                <w:color w:val="000000"/>
                <w:kern w:val="0"/>
                <w:sz w:val="20"/>
                <w:szCs w:val="20"/>
                <w:u w:val="none"/>
                <w:lang w:val="en-US" w:eastAsia="zh-CN" w:bidi="ar"/>
              </w:rPr>
            </w:pPr>
          </w:p>
        </w:tc>
        <w:tc>
          <w:tcPr>
            <w:tcW w:w="589"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58D37D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满意度指标10%</w:t>
            </w:r>
          </w:p>
        </w:tc>
        <w:tc>
          <w:tcPr>
            <w:tcW w:w="1270" w:type="dxa"/>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73E29F1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服务对象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满意度指标</w:t>
            </w:r>
          </w:p>
        </w:tc>
        <w:tc>
          <w:tcPr>
            <w:tcW w:w="2050" w:type="dxa"/>
            <w:gridSpan w:val="2"/>
            <w:tcBorders>
              <w:top w:val="dotted" w:color="000000" w:sz="4" w:space="0"/>
              <w:left w:val="dotted" w:color="000000" w:sz="4" w:space="0"/>
              <w:bottom w:val="dotted" w:color="000000" w:sz="4" w:space="0"/>
              <w:right w:val="dotted" w:color="000000" w:sz="4" w:space="0"/>
            </w:tcBorders>
            <w:shd w:val="clear" w:color="auto" w:fill="auto"/>
            <w:noWrap w:val="0"/>
            <w:vAlign w:val="center"/>
          </w:tcPr>
          <w:p w14:paraId="0BD8D26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FF0000"/>
                <w:kern w:val="0"/>
                <w:sz w:val="16"/>
                <w:szCs w:val="16"/>
                <w:u w:val="none"/>
                <w:lang w:val="en-US" w:eastAsia="zh-CN" w:bidi="ar"/>
              </w:rPr>
              <w:t>辖区居民满意度</w:t>
            </w:r>
          </w:p>
        </w:tc>
        <w:tc>
          <w:tcPr>
            <w:tcW w:w="1110"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294D52C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6"/>
                <w:szCs w:val="16"/>
                <w:u w:val="none"/>
                <w:lang w:val="en-US" w:eastAsia="zh-CN" w:bidi="ar"/>
              </w:rPr>
              <w:t>≥90%</w:t>
            </w:r>
          </w:p>
        </w:tc>
        <w:tc>
          <w:tcPr>
            <w:tcW w:w="1110" w:type="dxa"/>
            <w:tcBorders>
              <w:top w:val="dotted" w:color="000000" w:sz="4" w:space="0"/>
              <w:left w:val="dotted" w:color="000000" w:sz="4" w:space="0"/>
              <w:bottom w:val="dotted" w:color="000000" w:sz="4" w:space="0"/>
              <w:right w:val="dotted" w:color="000000" w:sz="4" w:space="0"/>
            </w:tcBorders>
            <w:shd w:val="clear" w:color="auto" w:fill="FFFFFF"/>
            <w:noWrap w:val="0"/>
            <w:vAlign w:val="center"/>
          </w:tcPr>
          <w:p w14:paraId="4251AC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90%</w:t>
            </w: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566BBAE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607" w:type="dxa"/>
            <w:gridSpan w:val="2"/>
            <w:tcBorders>
              <w:top w:val="dotted" w:color="000000" w:sz="4" w:space="0"/>
              <w:left w:val="dotted" w:color="000000" w:sz="4" w:space="0"/>
              <w:bottom w:val="dotted" w:color="000000" w:sz="4" w:space="0"/>
              <w:right w:val="dotted" w:color="000000" w:sz="4" w:space="0"/>
            </w:tcBorders>
            <w:noWrap w:val="0"/>
            <w:vAlign w:val="center"/>
          </w:tcPr>
          <w:p w14:paraId="7BDB9872">
            <w:pPr>
              <w:jc w:val="right"/>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10</w:t>
            </w:r>
          </w:p>
        </w:tc>
      </w:tr>
      <w:tr w14:paraId="6D4BA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733" w:type="dxa"/>
            <w:gridSpan w:val="7"/>
            <w:tcBorders>
              <w:top w:val="dotted" w:color="000000" w:sz="4" w:space="0"/>
              <w:left w:val="nil"/>
              <w:bottom w:val="dotted" w:color="000000" w:sz="4" w:space="0"/>
              <w:right w:val="dotted" w:color="000000" w:sz="4" w:space="0"/>
            </w:tcBorders>
            <w:noWrap w:val="0"/>
            <w:vAlign w:val="center"/>
          </w:tcPr>
          <w:p w14:paraId="1CAB19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总分</w:t>
            </w:r>
          </w:p>
        </w:tc>
        <w:tc>
          <w:tcPr>
            <w:tcW w:w="840" w:type="dxa"/>
            <w:tcBorders>
              <w:top w:val="dotted" w:color="000000" w:sz="4" w:space="0"/>
              <w:left w:val="dotted" w:color="000000" w:sz="4" w:space="0"/>
              <w:bottom w:val="dotted" w:color="000000" w:sz="4" w:space="0"/>
              <w:right w:val="dotted" w:color="000000" w:sz="4" w:space="0"/>
            </w:tcBorders>
            <w:noWrap w:val="0"/>
            <w:vAlign w:val="center"/>
          </w:tcPr>
          <w:p w14:paraId="749F91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607" w:type="dxa"/>
            <w:gridSpan w:val="2"/>
            <w:tcBorders>
              <w:top w:val="dotted" w:color="000000" w:sz="4" w:space="0"/>
              <w:left w:val="dotted" w:color="000000" w:sz="4" w:space="0"/>
              <w:bottom w:val="dotted" w:color="000000" w:sz="4" w:space="0"/>
              <w:right w:val="dotted" w:color="000000" w:sz="4" w:space="0"/>
            </w:tcBorders>
            <w:noWrap w:val="0"/>
            <w:vAlign w:val="center"/>
          </w:tcPr>
          <w:p w14:paraId="1C01F2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9</w:t>
            </w:r>
            <w:r>
              <w:rPr>
                <w:rFonts w:hint="eastAsia" w:ascii="宋体" w:hAnsi="宋体" w:eastAsia="宋体" w:cs="宋体"/>
                <w:i w:val="0"/>
                <w:iCs w:val="0"/>
                <w:color w:val="000000"/>
                <w:kern w:val="0"/>
                <w:sz w:val="20"/>
                <w:szCs w:val="20"/>
                <w:u w:val="none"/>
                <w:lang w:val="en-US" w:eastAsia="zh-CN" w:bidi="ar"/>
              </w:rPr>
              <w:t>2.75</w:t>
            </w:r>
          </w:p>
        </w:tc>
      </w:tr>
    </w:tbl>
    <w:p w14:paraId="5F1CDAF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2.主要绩效</w:t>
      </w:r>
    </w:p>
    <w:p w14:paraId="00F6356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default"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（1）</w:t>
      </w:r>
      <w:r>
        <w:rPr>
          <w:rFonts w:hint="default" w:ascii="仿宋" w:hAnsi="仿宋" w:eastAsia="仿宋" w:cs="仿宋"/>
          <w:spacing w:val="10"/>
          <w:sz w:val="31"/>
          <w:szCs w:val="31"/>
          <w:lang w:val="en-US" w:eastAsia="zh-CN"/>
        </w:rPr>
        <w:t>数量指标：该项目正式投入使用，</w:t>
      </w:r>
      <w:r>
        <w:rPr>
          <w:rFonts w:hint="eastAsia" w:ascii="仿宋" w:hAnsi="仿宋" w:eastAsia="仿宋" w:cs="仿宋"/>
          <w:spacing w:val="10"/>
          <w:sz w:val="31"/>
          <w:szCs w:val="31"/>
          <w:lang w:val="en-US" w:eastAsia="zh-CN"/>
        </w:rPr>
        <w:t>设立社区55个</w:t>
      </w:r>
      <w:r>
        <w:rPr>
          <w:rFonts w:hint="default" w:ascii="仿宋" w:hAnsi="仿宋" w:eastAsia="仿宋" w:cs="仿宋"/>
          <w:spacing w:val="10"/>
          <w:sz w:val="31"/>
          <w:szCs w:val="31"/>
          <w:lang w:val="en-US" w:eastAsia="zh-CN"/>
        </w:rPr>
        <w:t>。</w:t>
      </w:r>
    </w:p>
    <w:p w14:paraId="77ABA81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default"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（2）</w:t>
      </w:r>
      <w:r>
        <w:rPr>
          <w:rFonts w:hint="default" w:ascii="仿宋" w:hAnsi="仿宋" w:eastAsia="仿宋" w:cs="仿宋"/>
          <w:spacing w:val="10"/>
          <w:sz w:val="31"/>
          <w:szCs w:val="31"/>
          <w:lang w:val="en-US" w:eastAsia="zh-CN"/>
        </w:rPr>
        <w:t>质量指标：围绕党组织服务群众工作有序推进，强化社区党组织服务群众资金保障，解决居民现实困难，增强党组织政治功能，夯实党的执政基础。</w:t>
      </w:r>
    </w:p>
    <w:p w14:paraId="7A49543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default"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（3）</w:t>
      </w:r>
      <w:r>
        <w:rPr>
          <w:rFonts w:hint="default" w:ascii="仿宋" w:hAnsi="仿宋" w:eastAsia="仿宋" w:cs="仿宋"/>
          <w:spacing w:val="10"/>
          <w:sz w:val="31"/>
          <w:szCs w:val="31"/>
          <w:lang w:val="en-US" w:eastAsia="zh-CN"/>
        </w:rPr>
        <w:t>社会效益指标：做好党组织服务群众工作，</w:t>
      </w:r>
      <w:r>
        <w:rPr>
          <w:rFonts w:hint="eastAsia" w:ascii="仿宋" w:hAnsi="仿宋" w:eastAsia="仿宋" w:cs="仿宋"/>
          <w:spacing w:val="10"/>
          <w:sz w:val="31"/>
          <w:szCs w:val="31"/>
          <w:lang w:val="en-US" w:eastAsia="zh-CN"/>
        </w:rPr>
        <w:t>提升</w:t>
      </w:r>
      <w:r>
        <w:rPr>
          <w:rFonts w:hint="default" w:ascii="仿宋" w:hAnsi="仿宋" w:eastAsia="仿宋" w:cs="仿宋"/>
          <w:spacing w:val="10"/>
          <w:sz w:val="31"/>
          <w:szCs w:val="31"/>
          <w:lang w:val="en-US" w:eastAsia="zh-CN"/>
        </w:rPr>
        <w:t>党组织服务能力。</w:t>
      </w:r>
    </w:p>
    <w:p w14:paraId="5405C4F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（4）</w:t>
      </w:r>
      <w:r>
        <w:rPr>
          <w:rFonts w:hint="default" w:ascii="仿宋" w:hAnsi="仿宋" w:eastAsia="仿宋" w:cs="仿宋"/>
          <w:spacing w:val="10"/>
          <w:sz w:val="31"/>
          <w:szCs w:val="31"/>
          <w:lang w:val="en-US" w:eastAsia="zh-CN"/>
        </w:rPr>
        <w:t>可持续影响指标：进一步提高了政府施政的公开、透明程度，增进了政府与社会、民众的交融，促进我县经济社会可持续发展</w:t>
      </w:r>
      <w:r>
        <w:rPr>
          <w:rFonts w:hint="eastAsia" w:ascii="仿宋" w:hAnsi="仿宋" w:eastAsia="仿宋" w:cs="仿宋"/>
          <w:spacing w:val="10"/>
          <w:sz w:val="31"/>
          <w:szCs w:val="31"/>
          <w:lang w:val="en-US" w:eastAsia="zh-CN"/>
        </w:rPr>
        <w:t>。</w:t>
      </w:r>
    </w:p>
    <w:p w14:paraId="0E3BEDC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3.绩效评价指标分析</w:t>
      </w:r>
    </w:p>
    <w:p w14:paraId="2C3DF9B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default"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（1）项目决策情况</w:t>
      </w:r>
    </w:p>
    <w:p w14:paraId="6EDE93D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从项目的立项及目标方面进行考核，从项目立项的可行性、合理性、规范性等方面进行评价分析。</w:t>
      </w:r>
    </w:p>
    <w:p w14:paraId="2A45B94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经评价分析后项目申报依据提供了党组织服务群众的文件，但在项目申报中，未对项目目标进行细化和量化。</w:t>
      </w:r>
    </w:p>
    <w:p w14:paraId="52D051D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（2）项目管理</w:t>
      </w:r>
    </w:p>
    <w:p w14:paraId="3AC0F02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项目管理是从投入管理、财务管理、项目实施三个方面的评价分析。</w:t>
      </w:r>
    </w:p>
    <w:p w14:paraId="2C835D9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default"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经评价分析后，截至2023年12月31日，提升党组织服务群众资金实际到位为650万元，占年初此项目预算的100%，资金使用全部按照相关规定严格执行，资金拨付程序完整，相关制度健全，监管严格。</w:t>
      </w:r>
    </w:p>
    <w:p w14:paraId="1E0AB78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（3）项目绩效</w:t>
      </w:r>
    </w:p>
    <w:p w14:paraId="4F5769A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项目绩效从项目产出及项目效益两方面进行评价。</w:t>
      </w:r>
    </w:p>
    <w:p w14:paraId="4B378E5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我局党组织服务群众项目从党群工作满意度、群众满意度等方面保证了群众满意度；项目绩效方面，通过组织服务群众项目水平，强化社区党组织服务群众资金保障，解决居民现实困难，增强党组织政治功能，夯实党的执政基础。</w:t>
      </w:r>
    </w:p>
    <w:p w14:paraId="5E4DA8D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19" w:firstLineChars="127"/>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4.主要经验及做法、存在的问题和建议</w:t>
      </w:r>
    </w:p>
    <w:p w14:paraId="6B0C052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（1）主要经验及做法；</w:t>
      </w:r>
    </w:p>
    <w:p w14:paraId="63F81AF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1）有强大的组织协调领导小组，分工明确。</w:t>
      </w:r>
    </w:p>
    <w:p w14:paraId="01B29A4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2）严格执行财经法规，按照党组织服务群众及时拨付经费，强化社区党组织服务群众资金保障，解决居民现实困难，增强党组织政治功能，夯实党的执政基础。</w:t>
      </w:r>
    </w:p>
    <w:p w14:paraId="232E8CF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（2）存在的问题；</w:t>
      </w:r>
    </w:p>
    <w:p w14:paraId="228A95F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1）预算执行不均衡</w:t>
      </w:r>
    </w:p>
    <w:p w14:paraId="42283E8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8" w:firstLineChars="139"/>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在党组织服务群众项目实施过程中，因经费安排不及时，因此以阶段工作拨付经费，没有达到按月执行预算的效果。</w:t>
      </w:r>
    </w:p>
    <w:p w14:paraId="4DB258C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19" w:firstLineChars="127"/>
        <w:textAlignment w:val="baseline"/>
        <w:rPr>
          <w:rFonts w:hint="eastAsia"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5.建议和改进措施</w:t>
      </w:r>
    </w:p>
    <w:p w14:paraId="0E3FA03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19" w:firstLineChars="127"/>
        <w:textAlignment w:val="baseline"/>
        <w:rPr>
          <w:rFonts w:hint="default"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（1）</w:t>
      </w:r>
      <w:r>
        <w:rPr>
          <w:rFonts w:hint="default" w:ascii="仿宋" w:hAnsi="仿宋" w:eastAsia="仿宋" w:cs="仿宋"/>
          <w:spacing w:val="10"/>
          <w:sz w:val="31"/>
          <w:szCs w:val="31"/>
          <w:lang w:val="en-US" w:eastAsia="zh-CN"/>
        </w:rPr>
        <w:t>细化上报的预算，未明确的预算应尽量上报细化预算，已经细化的严格按照预算执行，确保资金不被挤占。</w:t>
      </w:r>
    </w:p>
    <w:p w14:paraId="5ABCCB6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19" w:firstLineChars="127"/>
        <w:textAlignment w:val="baseline"/>
        <w:rPr>
          <w:rFonts w:hint="default" w:ascii="仿宋" w:hAnsi="仿宋" w:eastAsia="仿宋" w:cs="仿宋"/>
          <w:spacing w:val="10"/>
          <w:sz w:val="31"/>
          <w:szCs w:val="31"/>
          <w:lang w:val="en-US" w:eastAsia="zh-CN"/>
        </w:rPr>
      </w:pPr>
      <w:r>
        <w:rPr>
          <w:rFonts w:hint="eastAsia" w:ascii="仿宋" w:hAnsi="仿宋" w:eastAsia="仿宋" w:cs="仿宋"/>
          <w:spacing w:val="10"/>
          <w:sz w:val="31"/>
          <w:szCs w:val="31"/>
          <w:lang w:val="en-US" w:eastAsia="zh-CN"/>
        </w:rPr>
        <w:t>（2）</w:t>
      </w:r>
      <w:r>
        <w:rPr>
          <w:rFonts w:hint="default" w:ascii="仿宋" w:hAnsi="仿宋" w:eastAsia="仿宋" w:cs="仿宋"/>
          <w:spacing w:val="10"/>
          <w:sz w:val="31"/>
          <w:szCs w:val="31"/>
          <w:lang w:val="en-US" w:eastAsia="zh-CN"/>
        </w:rPr>
        <w:t>加快预算执行进度，提高资金使用效益。</w:t>
      </w:r>
    </w:p>
    <w:p w14:paraId="1CD627C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3" w:firstLineChars="139"/>
        <w:textAlignment w:val="baseline"/>
        <w:rPr>
          <w:rFonts w:ascii="黑体" w:hAnsi="黑体" w:eastAsia="黑体" w:cs="黑体"/>
          <w:sz w:val="31"/>
          <w:szCs w:val="31"/>
        </w:rPr>
      </w:pPr>
      <w:r>
        <w:rPr>
          <w:rFonts w:hint="eastAsia" w:ascii="黑体" w:hAnsi="黑体" w:eastAsia="黑体" w:cs="黑体"/>
          <w:spacing w:val="8"/>
          <w:position w:val="23"/>
          <w:sz w:val="31"/>
          <w:szCs w:val="31"/>
          <w:lang w:val="en-US" w:eastAsia="zh-CN"/>
        </w:rPr>
        <w:t>十一</w:t>
      </w:r>
      <w:r>
        <w:rPr>
          <w:rFonts w:ascii="黑体" w:hAnsi="黑体" w:eastAsia="黑体" w:cs="黑体"/>
          <w:spacing w:val="8"/>
          <w:position w:val="23"/>
          <w:sz w:val="31"/>
          <w:szCs w:val="31"/>
        </w:rPr>
        <w:t>、其他重要事项情况说明</w:t>
      </w:r>
    </w:p>
    <w:p w14:paraId="245C3A6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firstLineChars="139"/>
        <w:textAlignment w:val="baseline"/>
        <w:rPr>
          <w:rFonts w:ascii="仿宋" w:hAnsi="仿宋" w:eastAsia="仿宋" w:cs="仿宋"/>
          <w:sz w:val="31"/>
          <w:szCs w:val="31"/>
        </w:rPr>
      </w:pPr>
      <w:r>
        <w:rPr>
          <w:rFonts w:hint="eastAsia" w:ascii="仿宋" w:hAnsi="仿宋" w:eastAsia="仿宋" w:cs="仿宋"/>
          <w:spacing w:val="33"/>
          <w:sz w:val="31"/>
          <w:szCs w:val="31"/>
          <w:lang w:eastAsia="zh-CN"/>
        </w:rPr>
        <w:t>（</w:t>
      </w:r>
      <w:r>
        <w:rPr>
          <w:rFonts w:ascii="仿宋" w:hAnsi="仿宋" w:eastAsia="仿宋" w:cs="仿宋"/>
          <w:spacing w:val="30"/>
          <w:sz w:val="31"/>
          <w:szCs w:val="31"/>
        </w:rPr>
        <w:t>一</w:t>
      </w:r>
      <w:r>
        <w:rPr>
          <w:rFonts w:hint="eastAsia" w:ascii="仿宋" w:hAnsi="仿宋" w:eastAsia="仿宋" w:cs="仿宋"/>
          <w:spacing w:val="30"/>
          <w:sz w:val="31"/>
          <w:szCs w:val="31"/>
          <w:lang w:eastAsia="zh-CN"/>
        </w:rPr>
        <w:t>）</w:t>
      </w:r>
      <w:r>
        <w:rPr>
          <w:rFonts w:ascii="仿宋" w:hAnsi="仿宋" w:eastAsia="仿宋" w:cs="仿宋"/>
          <w:spacing w:val="30"/>
          <w:sz w:val="31"/>
          <w:szCs w:val="31"/>
        </w:rPr>
        <w:t>机关运行经费执行情况说明</w:t>
      </w:r>
    </w:p>
    <w:p w14:paraId="2AF1937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9" w:firstLineChars="139"/>
        <w:textAlignment w:val="baseline"/>
        <w:rPr>
          <w:rFonts w:ascii="仿宋" w:hAnsi="仿宋" w:eastAsia="仿宋" w:cs="仿宋"/>
          <w:sz w:val="31"/>
          <w:szCs w:val="31"/>
        </w:rPr>
      </w:pPr>
      <w:r>
        <w:rPr>
          <w:rFonts w:ascii="宋体" w:hAnsi="宋体" w:eastAsia="宋体" w:cs="宋体"/>
          <w:spacing w:val="14"/>
          <w:sz w:val="31"/>
          <w:szCs w:val="31"/>
        </w:rPr>
        <w:t>20</w:t>
      </w:r>
      <w:r>
        <w:rPr>
          <w:rFonts w:ascii="宋体" w:hAnsi="宋体" w:eastAsia="宋体" w:cs="宋体"/>
          <w:spacing w:val="8"/>
          <w:sz w:val="31"/>
          <w:szCs w:val="31"/>
        </w:rPr>
        <w:t>2</w:t>
      </w:r>
      <w:r>
        <w:rPr>
          <w:rFonts w:ascii="宋体" w:hAnsi="宋体" w:eastAsia="宋体" w:cs="宋体"/>
          <w:spacing w:val="7"/>
          <w:sz w:val="31"/>
          <w:szCs w:val="31"/>
        </w:rPr>
        <w:t>3</w:t>
      </w:r>
      <w:r>
        <w:rPr>
          <w:rFonts w:ascii="仿宋" w:hAnsi="仿宋" w:eastAsia="仿宋" w:cs="仿宋"/>
          <w:spacing w:val="7"/>
          <w:sz w:val="31"/>
          <w:szCs w:val="31"/>
        </w:rPr>
        <w:t>年度机关运行经费支出</w:t>
      </w:r>
      <w:r>
        <w:rPr>
          <w:rFonts w:hint="eastAsia" w:ascii="仿宋" w:hAnsi="仿宋" w:eastAsia="仿宋" w:cs="仿宋"/>
          <w:spacing w:val="7"/>
          <w:sz w:val="31"/>
          <w:szCs w:val="31"/>
          <w:lang w:val="en-US" w:eastAsia="zh-CN"/>
        </w:rPr>
        <w:t>51.76</w:t>
      </w:r>
      <w:r>
        <w:rPr>
          <w:rFonts w:ascii="仿宋" w:hAnsi="仿宋" w:eastAsia="仿宋" w:cs="仿宋"/>
          <w:spacing w:val="7"/>
          <w:sz w:val="31"/>
          <w:szCs w:val="31"/>
        </w:rPr>
        <w:t>万元，较</w:t>
      </w:r>
      <w:r>
        <w:rPr>
          <w:rFonts w:ascii="宋体" w:hAnsi="宋体" w:eastAsia="宋体" w:cs="宋体"/>
          <w:spacing w:val="7"/>
          <w:sz w:val="31"/>
          <w:szCs w:val="31"/>
        </w:rPr>
        <w:t>2022</w:t>
      </w:r>
      <w:r>
        <w:rPr>
          <w:rFonts w:ascii="仿宋" w:hAnsi="仿宋" w:eastAsia="仿宋" w:cs="仿宋"/>
          <w:spacing w:val="7"/>
          <w:sz w:val="31"/>
          <w:szCs w:val="31"/>
        </w:rPr>
        <w:t>年度</w:t>
      </w:r>
      <w:r>
        <w:rPr>
          <w:rFonts w:hint="eastAsia" w:ascii="仿宋" w:hAnsi="仿宋" w:eastAsia="仿宋" w:cs="仿宋"/>
          <w:spacing w:val="7"/>
          <w:sz w:val="31"/>
          <w:szCs w:val="31"/>
          <w:lang w:val="en-US" w:eastAsia="zh-CN"/>
        </w:rPr>
        <w:t>减少</w:t>
      </w:r>
      <w:r>
        <w:rPr>
          <w:rFonts w:hint="eastAsia" w:ascii="仿宋" w:hAnsi="仿宋" w:eastAsia="仿宋" w:cs="仿宋"/>
          <w:sz w:val="31"/>
          <w:szCs w:val="31"/>
          <w:lang w:val="en-US" w:eastAsia="zh-CN"/>
        </w:rPr>
        <w:t>1.04</w:t>
      </w:r>
      <w:r>
        <w:rPr>
          <w:rFonts w:ascii="仿宋" w:hAnsi="仿宋" w:eastAsia="仿宋" w:cs="仿宋"/>
          <w:spacing w:val="6"/>
          <w:sz w:val="31"/>
          <w:szCs w:val="31"/>
        </w:rPr>
        <w:t>万元，</w:t>
      </w:r>
      <w:r>
        <w:rPr>
          <w:rFonts w:hint="eastAsia" w:ascii="仿宋" w:hAnsi="仿宋" w:eastAsia="仿宋" w:cs="仿宋"/>
          <w:spacing w:val="6"/>
          <w:sz w:val="31"/>
          <w:szCs w:val="31"/>
          <w:lang w:val="en-US" w:eastAsia="zh-CN"/>
        </w:rPr>
        <w:t>下降1.97</w:t>
      </w:r>
      <w:r>
        <w:rPr>
          <w:rFonts w:ascii="宋体" w:hAnsi="宋体" w:eastAsia="宋体" w:cs="宋体"/>
          <w:spacing w:val="6"/>
          <w:sz w:val="31"/>
          <w:szCs w:val="31"/>
        </w:rPr>
        <w:t>%</w:t>
      </w:r>
      <w:r>
        <w:rPr>
          <w:rFonts w:ascii="仿宋" w:hAnsi="仿宋" w:eastAsia="仿宋" w:cs="仿宋"/>
          <w:spacing w:val="6"/>
          <w:sz w:val="31"/>
          <w:szCs w:val="31"/>
        </w:rPr>
        <w:t>，主要是</w:t>
      </w:r>
      <w:r>
        <w:rPr>
          <w:rFonts w:hint="eastAsia" w:ascii="仿宋" w:hAnsi="仿宋" w:eastAsia="仿宋"/>
          <w:sz w:val="32"/>
          <w:szCs w:val="30"/>
          <w:highlight w:val="none"/>
          <w:lang w:val="en-US" w:eastAsia="zh-CN"/>
        </w:rPr>
        <w:t>缩减经费支出，控制成本</w:t>
      </w:r>
      <w:r>
        <w:rPr>
          <w:rFonts w:ascii="仿宋" w:hAnsi="仿宋" w:eastAsia="仿宋" w:cs="仿宋"/>
          <w:spacing w:val="6"/>
          <w:sz w:val="31"/>
          <w:szCs w:val="31"/>
        </w:rPr>
        <w:t>。</w:t>
      </w:r>
    </w:p>
    <w:p w14:paraId="0A5A5D7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39" w:firstLineChars="139"/>
        <w:textAlignment w:val="baseline"/>
        <w:rPr>
          <w:rFonts w:ascii="仿宋" w:hAnsi="仿宋" w:eastAsia="仿宋" w:cs="仿宋"/>
          <w:sz w:val="31"/>
          <w:szCs w:val="31"/>
        </w:rPr>
      </w:pPr>
      <w:r>
        <w:rPr>
          <w:rFonts w:hint="eastAsia" w:ascii="仿宋" w:hAnsi="仿宋" w:eastAsia="仿宋" w:cs="仿宋"/>
          <w:spacing w:val="39"/>
          <w:sz w:val="31"/>
          <w:szCs w:val="31"/>
          <w:lang w:eastAsia="zh-CN"/>
        </w:rPr>
        <w:t>（</w:t>
      </w:r>
      <w:r>
        <w:rPr>
          <w:rFonts w:ascii="仿宋" w:hAnsi="仿宋" w:eastAsia="仿宋" w:cs="仿宋"/>
          <w:spacing w:val="33"/>
          <w:sz w:val="31"/>
          <w:szCs w:val="31"/>
        </w:rPr>
        <w:t>二</w:t>
      </w:r>
      <w:r>
        <w:rPr>
          <w:rFonts w:hint="eastAsia" w:ascii="仿宋" w:hAnsi="仿宋" w:eastAsia="仿宋" w:cs="仿宋"/>
          <w:spacing w:val="33"/>
          <w:sz w:val="31"/>
          <w:szCs w:val="31"/>
          <w:lang w:eastAsia="zh-CN"/>
        </w:rPr>
        <w:t>）</w:t>
      </w:r>
      <w:r>
        <w:rPr>
          <w:rFonts w:ascii="仿宋" w:hAnsi="仿宋" w:eastAsia="仿宋" w:cs="仿宋"/>
          <w:spacing w:val="33"/>
          <w:sz w:val="31"/>
          <w:szCs w:val="31"/>
        </w:rPr>
        <w:t>政府采购支出情况说明</w:t>
      </w:r>
    </w:p>
    <w:p w14:paraId="6863C9C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4" w:firstLineChars="139"/>
        <w:textAlignment w:val="baseline"/>
        <w:rPr>
          <w:rFonts w:ascii="仿宋" w:hAnsi="仿宋" w:eastAsia="仿宋" w:cs="仿宋"/>
          <w:sz w:val="31"/>
          <w:szCs w:val="31"/>
        </w:rPr>
      </w:pPr>
      <w:r>
        <w:rPr>
          <w:rFonts w:ascii="宋体" w:hAnsi="宋体" w:eastAsia="宋体" w:cs="宋体"/>
          <w:spacing w:val="-6"/>
          <w:sz w:val="31"/>
          <w:szCs w:val="31"/>
        </w:rPr>
        <w:t>2023</w:t>
      </w:r>
      <w:r>
        <w:rPr>
          <w:rFonts w:ascii="仿宋" w:hAnsi="仿宋" w:eastAsia="仿宋" w:cs="仿宋"/>
          <w:spacing w:val="-3"/>
          <w:sz w:val="31"/>
          <w:szCs w:val="31"/>
        </w:rPr>
        <w:t>年度政府采购支出总额</w:t>
      </w:r>
      <w:r>
        <w:rPr>
          <w:rFonts w:hint="eastAsia" w:ascii="仿宋" w:hAnsi="仿宋" w:eastAsia="仿宋" w:cs="仿宋"/>
          <w:spacing w:val="-3"/>
          <w:sz w:val="31"/>
          <w:szCs w:val="31"/>
          <w:lang w:val="en-US" w:eastAsia="zh-CN"/>
        </w:rPr>
        <w:t>0.00</w:t>
      </w:r>
      <w:r>
        <w:rPr>
          <w:rFonts w:ascii="仿宋" w:hAnsi="仿宋" w:eastAsia="仿宋" w:cs="仿宋"/>
          <w:spacing w:val="-3"/>
          <w:sz w:val="31"/>
          <w:szCs w:val="31"/>
        </w:rPr>
        <w:t>万元，其中：政府采购货</w:t>
      </w:r>
      <w:r>
        <w:rPr>
          <w:rFonts w:ascii="仿宋" w:hAnsi="仿宋" w:eastAsia="仿宋" w:cs="仿宋"/>
          <w:sz w:val="31"/>
          <w:szCs w:val="31"/>
        </w:rPr>
        <w:t xml:space="preserve"> </w:t>
      </w:r>
      <w:r>
        <w:rPr>
          <w:rFonts w:ascii="仿宋" w:hAnsi="仿宋" w:eastAsia="仿宋" w:cs="仿宋"/>
          <w:spacing w:val="13"/>
          <w:sz w:val="31"/>
          <w:szCs w:val="31"/>
        </w:rPr>
        <w:t>物</w:t>
      </w:r>
      <w:r>
        <w:rPr>
          <w:rFonts w:ascii="仿宋" w:hAnsi="仿宋" w:eastAsia="仿宋" w:cs="仿宋"/>
          <w:spacing w:val="8"/>
          <w:sz w:val="31"/>
          <w:szCs w:val="31"/>
        </w:rPr>
        <w:t>支出</w:t>
      </w:r>
      <w:r>
        <w:rPr>
          <w:rFonts w:hint="eastAsia" w:ascii="仿宋" w:hAnsi="仿宋" w:eastAsia="仿宋" w:cs="仿宋"/>
          <w:spacing w:val="8"/>
          <w:sz w:val="31"/>
          <w:szCs w:val="31"/>
          <w:lang w:val="en-US" w:eastAsia="zh-CN"/>
        </w:rPr>
        <w:t>0.00</w:t>
      </w:r>
      <w:r>
        <w:rPr>
          <w:rFonts w:ascii="仿宋" w:hAnsi="仿宋" w:eastAsia="仿宋" w:cs="仿宋"/>
          <w:spacing w:val="8"/>
          <w:sz w:val="31"/>
          <w:szCs w:val="31"/>
        </w:rPr>
        <w:t>万元、政府采购工程支出</w:t>
      </w:r>
      <w:r>
        <w:rPr>
          <w:rFonts w:hint="eastAsia" w:ascii="仿宋" w:hAnsi="仿宋" w:eastAsia="仿宋" w:cs="仿宋"/>
          <w:spacing w:val="8"/>
          <w:sz w:val="31"/>
          <w:szCs w:val="31"/>
          <w:lang w:val="en-US" w:eastAsia="zh-CN"/>
        </w:rPr>
        <w:t>0.00</w:t>
      </w:r>
      <w:r>
        <w:rPr>
          <w:rFonts w:ascii="仿宋" w:hAnsi="仿宋" w:eastAsia="仿宋" w:cs="仿宋"/>
          <w:spacing w:val="8"/>
          <w:sz w:val="31"/>
          <w:szCs w:val="31"/>
        </w:rPr>
        <w:t>万元、政府采购服务支</w:t>
      </w:r>
      <w:r>
        <w:rPr>
          <w:rFonts w:ascii="仿宋" w:hAnsi="仿宋" w:eastAsia="仿宋" w:cs="仿宋"/>
          <w:spacing w:val="4"/>
          <w:sz w:val="31"/>
          <w:szCs w:val="31"/>
        </w:rPr>
        <w:t>出</w:t>
      </w:r>
      <w:r>
        <w:rPr>
          <w:rFonts w:hint="eastAsia" w:ascii="仿宋" w:hAnsi="仿宋" w:eastAsia="仿宋" w:cs="仿宋"/>
          <w:spacing w:val="4"/>
          <w:sz w:val="31"/>
          <w:szCs w:val="31"/>
          <w:lang w:val="en-US" w:eastAsia="zh-CN"/>
        </w:rPr>
        <w:t>0.00</w:t>
      </w:r>
      <w:r>
        <w:rPr>
          <w:rFonts w:ascii="仿宋" w:hAnsi="仿宋" w:eastAsia="仿宋" w:cs="仿宋"/>
          <w:spacing w:val="4"/>
          <w:sz w:val="31"/>
          <w:szCs w:val="31"/>
        </w:rPr>
        <w:t>万元。授予</w:t>
      </w:r>
      <w:r>
        <w:rPr>
          <w:rFonts w:ascii="仿宋" w:hAnsi="仿宋" w:eastAsia="仿宋" w:cs="仿宋"/>
          <w:spacing w:val="2"/>
          <w:sz w:val="31"/>
          <w:szCs w:val="31"/>
        </w:rPr>
        <w:t>中小企业合同金额</w:t>
      </w:r>
      <w:r>
        <w:rPr>
          <w:rFonts w:hint="eastAsia" w:ascii="仿宋" w:hAnsi="仿宋" w:eastAsia="仿宋" w:cs="仿宋"/>
          <w:spacing w:val="2"/>
          <w:sz w:val="31"/>
          <w:szCs w:val="31"/>
          <w:lang w:val="en-US" w:eastAsia="zh-CN"/>
        </w:rPr>
        <w:t>0.00</w:t>
      </w:r>
      <w:r>
        <w:rPr>
          <w:rFonts w:ascii="仿宋" w:hAnsi="仿宋" w:eastAsia="仿宋" w:cs="仿宋"/>
          <w:spacing w:val="2"/>
          <w:sz w:val="31"/>
          <w:szCs w:val="31"/>
        </w:rPr>
        <w:t>万元，占政府采购支出</w:t>
      </w:r>
      <w:r>
        <w:rPr>
          <w:rFonts w:ascii="仿宋" w:hAnsi="仿宋" w:eastAsia="仿宋" w:cs="仿宋"/>
          <w:spacing w:val="-4"/>
          <w:sz w:val="31"/>
          <w:szCs w:val="31"/>
        </w:rPr>
        <w:t>总额的</w:t>
      </w:r>
      <w:r>
        <w:rPr>
          <w:rFonts w:hint="eastAsia" w:ascii="仿宋" w:hAnsi="仿宋" w:eastAsia="仿宋" w:cs="仿宋"/>
          <w:spacing w:val="-4"/>
          <w:sz w:val="31"/>
          <w:szCs w:val="31"/>
          <w:lang w:val="en-US" w:eastAsia="zh-CN"/>
        </w:rPr>
        <w:t>0.00</w:t>
      </w:r>
      <w:r>
        <w:rPr>
          <w:rFonts w:ascii="宋体" w:hAnsi="宋体" w:eastAsia="宋体" w:cs="宋体"/>
          <w:spacing w:val="-4"/>
          <w:sz w:val="31"/>
          <w:szCs w:val="31"/>
        </w:rPr>
        <w:t>%</w:t>
      </w:r>
      <w:r>
        <w:rPr>
          <w:rFonts w:ascii="仿宋" w:hAnsi="仿宋" w:eastAsia="仿宋" w:cs="仿宋"/>
          <w:spacing w:val="-4"/>
          <w:sz w:val="31"/>
          <w:szCs w:val="31"/>
        </w:rPr>
        <w:t>，其中：</w:t>
      </w:r>
      <w:r>
        <w:rPr>
          <w:rFonts w:ascii="仿宋" w:hAnsi="仿宋" w:eastAsia="仿宋" w:cs="仿宋"/>
          <w:spacing w:val="-3"/>
          <w:sz w:val="31"/>
          <w:szCs w:val="31"/>
        </w:rPr>
        <w:t>授</w:t>
      </w:r>
      <w:r>
        <w:rPr>
          <w:rFonts w:ascii="仿宋" w:hAnsi="仿宋" w:eastAsia="仿宋" w:cs="仿宋"/>
          <w:spacing w:val="-2"/>
          <w:sz w:val="31"/>
          <w:szCs w:val="31"/>
        </w:rPr>
        <w:t>予小微企业合同金额</w:t>
      </w:r>
      <w:r>
        <w:rPr>
          <w:rFonts w:hint="eastAsia" w:ascii="仿宋" w:hAnsi="仿宋" w:eastAsia="仿宋" w:cs="仿宋"/>
          <w:spacing w:val="-2"/>
          <w:sz w:val="31"/>
          <w:szCs w:val="31"/>
          <w:lang w:val="en-US" w:eastAsia="zh-CN"/>
        </w:rPr>
        <w:t>0.00</w:t>
      </w:r>
      <w:r>
        <w:rPr>
          <w:rFonts w:ascii="仿宋" w:hAnsi="仿宋" w:eastAsia="仿宋" w:cs="仿宋"/>
          <w:spacing w:val="-2"/>
          <w:sz w:val="31"/>
          <w:szCs w:val="31"/>
        </w:rPr>
        <w:t>万元，占授予中</w:t>
      </w:r>
      <w:r>
        <w:rPr>
          <w:rFonts w:ascii="仿宋" w:hAnsi="仿宋" w:eastAsia="仿宋" w:cs="仿宋"/>
          <w:spacing w:val="16"/>
          <w:sz w:val="31"/>
          <w:szCs w:val="31"/>
        </w:rPr>
        <w:t>小</w:t>
      </w:r>
      <w:r>
        <w:rPr>
          <w:rFonts w:ascii="仿宋" w:hAnsi="仿宋" w:eastAsia="仿宋" w:cs="仿宋"/>
          <w:spacing w:val="15"/>
          <w:sz w:val="31"/>
          <w:szCs w:val="31"/>
        </w:rPr>
        <w:t>企</w:t>
      </w:r>
      <w:r>
        <w:rPr>
          <w:rFonts w:ascii="仿宋" w:hAnsi="仿宋" w:eastAsia="仿宋" w:cs="仿宋"/>
          <w:spacing w:val="8"/>
          <w:sz w:val="31"/>
          <w:szCs w:val="31"/>
        </w:rPr>
        <w:t>业合同金额的</w:t>
      </w:r>
      <w:r>
        <w:rPr>
          <w:rFonts w:hint="eastAsia" w:ascii="仿宋" w:hAnsi="仿宋" w:eastAsia="仿宋" w:cs="仿宋"/>
          <w:spacing w:val="8"/>
          <w:sz w:val="31"/>
          <w:szCs w:val="31"/>
          <w:lang w:val="en-US" w:eastAsia="zh-CN"/>
        </w:rPr>
        <w:t>0.00</w:t>
      </w:r>
      <w:r>
        <w:rPr>
          <w:rFonts w:ascii="宋体" w:hAnsi="宋体" w:eastAsia="宋体" w:cs="宋体"/>
          <w:spacing w:val="8"/>
          <w:sz w:val="31"/>
          <w:szCs w:val="31"/>
        </w:rPr>
        <w:t>%</w:t>
      </w:r>
      <w:r>
        <w:rPr>
          <w:rFonts w:ascii="仿宋" w:hAnsi="仿宋" w:eastAsia="仿宋" w:cs="仿宋"/>
          <w:spacing w:val="8"/>
          <w:sz w:val="31"/>
          <w:szCs w:val="31"/>
        </w:rPr>
        <w:t>；货物采购授予中小企业合同金额占货</w:t>
      </w:r>
      <w:r>
        <w:rPr>
          <w:rFonts w:ascii="仿宋" w:hAnsi="仿宋" w:eastAsia="仿宋" w:cs="仿宋"/>
          <w:spacing w:val="16"/>
          <w:sz w:val="31"/>
          <w:szCs w:val="31"/>
        </w:rPr>
        <w:t>物</w:t>
      </w:r>
      <w:r>
        <w:rPr>
          <w:rFonts w:ascii="仿宋" w:hAnsi="仿宋" w:eastAsia="仿宋" w:cs="仿宋"/>
          <w:spacing w:val="14"/>
          <w:sz w:val="31"/>
          <w:szCs w:val="31"/>
        </w:rPr>
        <w:t>支</w:t>
      </w:r>
      <w:r>
        <w:rPr>
          <w:rFonts w:ascii="仿宋" w:hAnsi="仿宋" w:eastAsia="仿宋" w:cs="仿宋"/>
          <w:spacing w:val="8"/>
          <w:sz w:val="31"/>
          <w:szCs w:val="31"/>
        </w:rPr>
        <w:t>出金额的</w:t>
      </w:r>
      <w:r>
        <w:rPr>
          <w:rFonts w:hint="eastAsia" w:ascii="仿宋" w:hAnsi="仿宋" w:eastAsia="仿宋" w:cs="仿宋"/>
          <w:spacing w:val="8"/>
          <w:sz w:val="31"/>
          <w:szCs w:val="31"/>
          <w:lang w:val="en-US" w:eastAsia="zh-CN"/>
        </w:rPr>
        <w:t>0.00</w:t>
      </w:r>
      <w:r>
        <w:rPr>
          <w:rFonts w:ascii="宋体" w:hAnsi="宋体" w:eastAsia="宋体" w:cs="宋体"/>
          <w:spacing w:val="8"/>
          <w:sz w:val="31"/>
          <w:szCs w:val="31"/>
        </w:rPr>
        <w:t>%</w:t>
      </w:r>
      <w:r>
        <w:rPr>
          <w:rFonts w:ascii="仿宋" w:hAnsi="仿宋" w:eastAsia="仿宋" w:cs="仿宋"/>
          <w:spacing w:val="8"/>
          <w:sz w:val="31"/>
          <w:szCs w:val="31"/>
        </w:rPr>
        <w:t>，工程采购授予中小企业合同金额占工程支</w:t>
      </w:r>
      <w:r>
        <w:rPr>
          <w:rFonts w:ascii="仿宋" w:hAnsi="仿宋" w:eastAsia="仿宋" w:cs="仿宋"/>
          <w:spacing w:val="16"/>
          <w:sz w:val="31"/>
          <w:szCs w:val="31"/>
        </w:rPr>
        <w:t>出</w:t>
      </w:r>
      <w:r>
        <w:rPr>
          <w:rFonts w:ascii="仿宋" w:hAnsi="仿宋" w:eastAsia="仿宋" w:cs="仿宋"/>
          <w:spacing w:val="14"/>
          <w:sz w:val="31"/>
          <w:szCs w:val="31"/>
        </w:rPr>
        <w:t>金</w:t>
      </w:r>
      <w:r>
        <w:rPr>
          <w:rFonts w:ascii="仿宋" w:hAnsi="仿宋" w:eastAsia="仿宋" w:cs="仿宋"/>
          <w:spacing w:val="8"/>
          <w:sz w:val="31"/>
          <w:szCs w:val="31"/>
        </w:rPr>
        <w:t>额的</w:t>
      </w:r>
      <w:r>
        <w:rPr>
          <w:rFonts w:hint="eastAsia" w:ascii="仿宋" w:hAnsi="仿宋" w:eastAsia="仿宋" w:cs="仿宋"/>
          <w:spacing w:val="8"/>
          <w:sz w:val="31"/>
          <w:szCs w:val="31"/>
          <w:lang w:val="en-US" w:eastAsia="zh-CN"/>
        </w:rPr>
        <w:t>0.00</w:t>
      </w:r>
      <w:r>
        <w:rPr>
          <w:rFonts w:ascii="宋体" w:hAnsi="宋体" w:eastAsia="宋体" w:cs="宋体"/>
          <w:spacing w:val="8"/>
          <w:sz w:val="31"/>
          <w:szCs w:val="31"/>
        </w:rPr>
        <w:t>%</w:t>
      </w:r>
      <w:r>
        <w:rPr>
          <w:rFonts w:ascii="仿宋" w:hAnsi="仿宋" w:eastAsia="仿宋" w:cs="仿宋"/>
          <w:spacing w:val="8"/>
          <w:sz w:val="31"/>
          <w:szCs w:val="31"/>
        </w:rPr>
        <w:t>，服务采购授予中小企业合同金额占服务支出金</w:t>
      </w:r>
      <w:r>
        <w:rPr>
          <w:rFonts w:ascii="仿宋" w:hAnsi="仿宋" w:eastAsia="仿宋" w:cs="仿宋"/>
          <w:spacing w:val="3"/>
          <w:sz w:val="31"/>
          <w:szCs w:val="31"/>
        </w:rPr>
        <w:t>额的</w:t>
      </w:r>
      <w:r>
        <w:rPr>
          <w:rFonts w:hint="eastAsia" w:ascii="仿宋" w:hAnsi="仿宋" w:eastAsia="仿宋" w:cs="仿宋"/>
          <w:spacing w:val="3"/>
          <w:sz w:val="31"/>
          <w:szCs w:val="31"/>
          <w:lang w:val="en-US" w:eastAsia="zh-CN"/>
        </w:rPr>
        <w:t>0.00</w:t>
      </w:r>
      <w:r>
        <w:rPr>
          <w:rFonts w:ascii="宋体" w:hAnsi="宋体" w:eastAsia="宋体" w:cs="宋体"/>
          <w:spacing w:val="3"/>
          <w:sz w:val="31"/>
          <w:szCs w:val="31"/>
        </w:rPr>
        <w:t>%</w:t>
      </w:r>
      <w:r>
        <w:rPr>
          <w:rFonts w:hint="eastAsia" w:ascii="宋体" w:hAnsi="宋体" w:eastAsia="宋体" w:cs="宋体"/>
          <w:spacing w:val="3"/>
          <w:sz w:val="31"/>
          <w:szCs w:val="31"/>
          <w:lang w:eastAsia="zh-CN"/>
        </w:rPr>
        <w:t>。</w:t>
      </w:r>
    </w:p>
    <w:p w14:paraId="00F0E5F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39" w:firstLineChars="139"/>
        <w:textAlignment w:val="baseline"/>
        <w:rPr>
          <w:rFonts w:ascii="仿宋" w:hAnsi="仿宋" w:eastAsia="仿宋" w:cs="仿宋"/>
          <w:sz w:val="31"/>
          <w:szCs w:val="31"/>
        </w:rPr>
      </w:pPr>
      <w:r>
        <w:rPr>
          <w:rFonts w:hint="eastAsia" w:ascii="仿宋" w:hAnsi="仿宋" w:eastAsia="仿宋" w:cs="仿宋"/>
          <w:spacing w:val="39"/>
          <w:sz w:val="31"/>
          <w:szCs w:val="31"/>
          <w:lang w:eastAsia="zh-CN"/>
        </w:rPr>
        <w:t>（</w:t>
      </w:r>
      <w:r>
        <w:rPr>
          <w:rFonts w:ascii="仿宋" w:hAnsi="仿宋" w:eastAsia="仿宋" w:cs="仿宋"/>
          <w:spacing w:val="33"/>
          <w:sz w:val="31"/>
          <w:szCs w:val="31"/>
        </w:rPr>
        <w:t>三</w:t>
      </w:r>
      <w:r>
        <w:rPr>
          <w:rFonts w:hint="eastAsia" w:ascii="仿宋" w:hAnsi="仿宋" w:eastAsia="仿宋" w:cs="仿宋"/>
          <w:spacing w:val="33"/>
          <w:sz w:val="31"/>
          <w:szCs w:val="31"/>
          <w:lang w:eastAsia="zh-CN"/>
        </w:rPr>
        <w:t>）</w:t>
      </w:r>
      <w:r>
        <w:rPr>
          <w:rFonts w:ascii="仿宋" w:hAnsi="仿宋" w:eastAsia="仿宋" w:cs="仿宋"/>
          <w:spacing w:val="33"/>
          <w:sz w:val="31"/>
          <w:szCs w:val="31"/>
        </w:rPr>
        <w:t>国有资产占用情况说明</w:t>
      </w:r>
    </w:p>
    <w:p w14:paraId="7E081DA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2" w:firstLineChars="139"/>
        <w:textAlignment w:val="baseline"/>
        <w:rPr>
          <w:rFonts w:ascii="仿宋" w:hAnsi="仿宋" w:eastAsia="仿宋" w:cs="仿宋"/>
          <w:sz w:val="31"/>
          <w:szCs w:val="31"/>
        </w:rPr>
      </w:pPr>
      <w:r>
        <w:rPr>
          <w:rFonts w:ascii="仿宋" w:hAnsi="仿宋" w:eastAsia="仿宋" w:cs="仿宋"/>
          <w:spacing w:val="-3"/>
          <w:sz w:val="31"/>
          <w:szCs w:val="31"/>
        </w:rPr>
        <w:t>截至</w:t>
      </w:r>
      <w:r>
        <w:rPr>
          <w:rFonts w:ascii="宋体" w:hAnsi="宋体" w:eastAsia="宋体" w:cs="宋体"/>
          <w:spacing w:val="-3"/>
          <w:sz w:val="31"/>
          <w:szCs w:val="31"/>
        </w:rPr>
        <w:t>2023</w:t>
      </w:r>
      <w:r>
        <w:rPr>
          <w:rFonts w:ascii="仿宋" w:hAnsi="仿宋" w:eastAsia="仿宋" w:cs="仿宋"/>
          <w:spacing w:val="-3"/>
          <w:sz w:val="31"/>
          <w:szCs w:val="31"/>
        </w:rPr>
        <w:t>年</w:t>
      </w:r>
      <w:r>
        <w:rPr>
          <w:rFonts w:ascii="宋体" w:hAnsi="宋体" w:eastAsia="宋体" w:cs="宋体"/>
          <w:spacing w:val="-3"/>
          <w:sz w:val="31"/>
          <w:szCs w:val="31"/>
        </w:rPr>
        <w:t>12</w:t>
      </w:r>
      <w:r>
        <w:rPr>
          <w:rFonts w:ascii="仿宋" w:hAnsi="仿宋" w:eastAsia="仿宋" w:cs="仿宋"/>
          <w:spacing w:val="-3"/>
          <w:sz w:val="31"/>
          <w:szCs w:val="31"/>
        </w:rPr>
        <w:t>月</w:t>
      </w:r>
      <w:r>
        <w:rPr>
          <w:rFonts w:ascii="宋体" w:hAnsi="宋体" w:eastAsia="宋体" w:cs="宋体"/>
          <w:spacing w:val="-3"/>
          <w:sz w:val="31"/>
          <w:szCs w:val="31"/>
        </w:rPr>
        <w:t xml:space="preserve">31 </w:t>
      </w:r>
      <w:r>
        <w:rPr>
          <w:rFonts w:ascii="仿宋" w:hAnsi="仿宋" w:eastAsia="仿宋" w:cs="仿宋"/>
          <w:spacing w:val="-3"/>
          <w:sz w:val="31"/>
          <w:szCs w:val="31"/>
        </w:rPr>
        <w:t>日，</w:t>
      </w:r>
      <w:r>
        <w:rPr>
          <w:rFonts w:hint="eastAsia" w:ascii="仿宋" w:hAnsi="仿宋" w:eastAsia="仿宋"/>
          <w:sz w:val="32"/>
          <w:lang w:val="en-US" w:eastAsia="zh-CN"/>
        </w:rPr>
        <w:t>长春市南关区档案局（馆）</w:t>
      </w:r>
      <w:r>
        <w:rPr>
          <w:rFonts w:ascii="仿宋" w:hAnsi="仿宋" w:eastAsia="仿宋" w:cs="仿宋"/>
          <w:spacing w:val="-3"/>
          <w:sz w:val="31"/>
          <w:szCs w:val="31"/>
        </w:rPr>
        <w:t>共有</w:t>
      </w:r>
      <w:r>
        <w:rPr>
          <w:rFonts w:ascii="仿宋" w:hAnsi="仿宋" w:eastAsia="仿宋" w:cs="仿宋"/>
          <w:sz w:val="31"/>
          <w:szCs w:val="31"/>
        </w:rPr>
        <w:t xml:space="preserve"> </w:t>
      </w:r>
      <w:r>
        <w:rPr>
          <w:rFonts w:ascii="仿宋" w:hAnsi="仿宋" w:eastAsia="仿宋" w:cs="仿宋"/>
          <w:spacing w:val="11"/>
          <w:sz w:val="31"/>
          <w:szCs w:val="31"/>
        </w:rPr>
        <w:t>车</w:t>
      </w:r>
      <w:r>
        <w:rPr>
          <w:rFonts w:ascii="仿宋" w:hAnsi="仿宋" w:eastAsia="仿宋" w:cs="仿宋"/>
          <w:spacing w:val="7"/>
          <w:sz w:val="31"/>
          <w:szCs w:val="31"/>
        </w:rPr>
        <w:t>辆</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辆，其中，副部</w:t>
      </w:r>
      <w:r>
        <w:rPr>
          <w:rFonts w:hint="eastAsia" w:ascii="仿宋" w:hAnsi="仿宋" w:eastAsia="仿宋" w:cs="仿宋"/>
          <w:spacing w:val="7"/>
          <w:sz w:val="31"/>
          <w:szCs w:val="31"/>
          <w:lang w:eastAsia="zh-CN"/>
        </w:rPr>
        <w:t>（</w:t>
      </w:r>
      <w:r>
        <w:rPr>
          <w:rFonts w:ascii="仿宋" w:hAnsi="仿宋" w:eastAsia="仿宋" w:cs="仿宋"/>
          <w:spacing w:val="7"/>
          <w:sz w:val="31"/>
          <w:szCs w:val="31"/>
        </w:rPr>
        <w:t>省</w:t>
      </w:r>
      <w:r>
        <w:rPr>
          <w:rFonts w:hint="eastAsia" w:ascii="仿宋" w:hAnsi="仿宋" w:eastAsia="仿宋" w:cs="仿宋"/>
          <w:spacing w:val="7"/>
          <w:sz w:val="31"/>
          <w:szCs w:val="31"/>
          <w:lang w:eastAsia="zh-CN"/>
        </w:rPr>
        <w:t>）</w:t>
      </w:r>
      <w:r>
        <w:rPr>
          <w:rFonts w:ascii="仿宋" w:hAnsi="仿宋" w:eastAsia="仿宋" w:cs="仿宋"/>
          <w:spacing w:val="7"/>
          <w:sz w:val="31"/>
          <w:szCs w:val="31"/>
        </w:rPr>
        <w:t>级及以上领导用车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辆、主</w:t>
      </w:r>
      <w:r>
        <w:rPr>
          <w:rFonts w:ascii="仿宋" w:hAnsi="仿宋" w:eastAsia="仿宋" w:cs="仿宋"/>
          <w:spacing w:val="-4"/>
          <w:sz w:val="31"/>
          <w:szCs w:val="31"/>
        </w:rPr>
        <w:t>要负</w:t>
      </w:r>
      <w:r>
        <w:rPr>
          <w:rFonts w:ascii="仿宋" w:hAnsi="仿宋" w:eastAsia="仿宋" w:cs="仿宋"/>
          <w:spacing w:val="-3"/>
          <w:sz w:val="31"/>
          <w:szCs w:val="31"/>
        </w:rPr>
        <w:t>责</w:t>
      </w:r>
      <w:r>
        <w:rPr>
          <w:rFonts w:ascii="仿宋" w:hAnsi="仿宋" w:eastAsia="仿宋" w:cs="仿宋"/>
          <w:spacing w:val="-2"/>
          <w:sz w:val="31"/>
          <w:szCs w:val="31"/>
        </w:rPr>
        <w:t>人用车</w:t>
      </w:r>
      <w:r>
        <w:rPr>
          <w:rFonts w:hint="eastAsia" w:ascii="仿宋" w:hAnsi="仿宋" w:eastAsia="仿宋" w:cs="仿宋"/>
          <w:spacing w:val="-2"/>
          <w:sz w:val="31"/>
          <w:szCs w:val="31"/>
          <w:lang w:val="en-US" w:eastAsia="zh-CN"/>
        </w:rPr>
        <w:t>0</w:t>
      </w:r>
      <w:r>
        <w:rPr>
          <w:rFonts w:ascii="仿宋" w:hAnsi="仿宋" w:eastAsia="仿宋" w:cs="仿宋"/>
          <w:spacing w:val="-2"/>
          <w:sz w:val="31"/>
          <w:szCs w:val="31"/>
        </w:rPr>
        <w:t>辆、机要通信用车</w:t>
      </w:r>
      <w:r>
        <w:rPr>
          <w:rFonts w:hint="eastAsia" w:ascii="宋体" w:hAnsi="宋体" w:eastAsia="宋体" w:cs="宋体"/>
          <w:spacing w:val="-2"/>
          <w:sz w:val="31"/>
          <w:szCs w:val="31"/>
          <w:lang w:val="en-US" w:eastAsia="zh-CN"/>
        </w:rPr>
        <w:t>0</w:t>
      </w:r>
      <w:r>
        <w:rPr>
          <w:rFonts w:ascii="仿宋" w:hAnsi="仿宋" w:eastAsia="仿宋" w:cs="仿宋"/>
          <w:spacing w:val="-2"/>
          <w:sz w:val="31"/>
          <w:szCs w:val="31"/>
        </w:rPr>
        <w:t>辆、应急保障用车</w:t>
      </w:r>
      <w:r>
        <w:rPr>
          <w:rFonts w:hint="eastAsia" w:ascii="仿宋" w:hAnsi="仿宋" w:eastAsia="仿宋" w:cs="仿宋"/>
          <w:spacing w:val="-2"/>
          <w:sz w:val="31"/>
          <w:szCs w:val="31"/>
          <w:lang w:val="en-US" w:eastAsia="zh-CN"/>
        </w:rPr>
        <w:t>0</w:t>
      </w:r>
      <w:r>
        <w:rPr>
          <w:rFonts w:ascii="仿宋" w:hAnsi="仿宋" w:eastAsia="仿宋" w:cs="仿宋"/>
          <w:spacing w:val="6"/>
          <w:sz w:val="31"/>
          <w:szCs w:val="31"/>
        </w:rPr>
        <w:t>辆</w:t>
      </w:r>
      <w:r>
        <w:rPr>
          <w:rFonts w:ascii="仿宋" w:hAnsi="仿宋" w:eastAsia="仿宋" w:cs="仿宋"/>
          <w:spacing w:val="4"/>
          <w:sz w:val="31"/>
          <w:szCs w:val="31"/>
        </w:rPr>
        <w:t>、</w:t>
      </w:r>
      <w:r>
        <w:rPr>
          <w:rFonts w:ascii="仿宋" w:hAnsi="仿宋" w:eastAsia="仿宋" w:cs="仿宋"/>
          <w:spacing w:val="3"/>
          <w:sz w:val="31"/>
          <w:szCs w:val="31"/>
        </w:rPr>
        <w:t>执法执勤用车</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辆、特种专业技术用车</w:t>
      </w:r>
      <w:r>
        <w:rPr>
          <w:rFonts w:hint="eastAsia" w:ascii="宋体" w:hAnsi="宋体" w:eastAsia="宋体" w:cs="宋体"/>
          <w:sz w:val="31"/>
          <w:szCs w:val="31"/>
          <w:lang w:val="en-US" w:eastAsia="zh-CN"/>
        </w:rPr>
        <w:t>0</w:t>
      </w:r>
      <w:r>
        <w:rPr>
          <w:rFonts w:ascii="仿宋" w:hAnsi="仿宋" w:eastAsia="仿宋" w:cs="仿宋"/>
          <w:spacing w:val="3"/>
          <w:sz w:val="31"/>
          <w:szCs w:val="31"/>
        </w:rPr>
        <w:t>辆、离退休</w:t>
      </w:r>
      <w:r>
        <w:rPr>
          <w:rFonts w:ascii="仿宋" w:hAnsi="仿宋" w:eastAsia="仿宋" w:cs="仿宋"/>
          <w:spacing w:val="-12"/>
          <w:sz w:val="31"/>
          <w:szCs w:val="31"/>
        </w:rPr>
        <w:t>干</w:t>
      </w:r>
      <w:r>
        <w:rPr>
          <w:rFonts w:ascii="仿宋" w:hAnsi="仿宋" w:eastAsia="仿宋" w:cs="仿宋"/>
          <w:spacing w:val="-7"/>
          <w:sz w:val="31"/>
          <w:szCs w:val="31"/>
        </w:rPr>
        <w:t>部用车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辆、其他用车</w:t>
      </w:r>
      <w:r>
        <w:rPr>
          <w:rFonts w:hint="eastAsia" w:ascii="宋体" w:hAnsi="宋体" w:eastAsia="宋体" w:cs="宋体"/>
          <w:spacing w:val="-7"/>
          <w:sz w:val="31"/>
          <w:szCs w:val="31"/>
          <w:lang w:val="en-US" w:eastAsia="zh-CN"/>
        </w:rPr>
        <w:t>0</w:t>
      </w:r>
      <w:r>
        <w:rPr>
          <w:rFonts w:ascii="仿宋" w:hAnsi="仿宋" w:eastAsia="仿宋" w:cs="仿宋"/>
          <w:spacing w:val="-7"/>
          <w:sz w:val="31"/>
          <w:szCs w:val="31"/>
        </w:rPr>
        <w:t>辆；单</w:t>
      </w:r>
      <w:r>
        <w:rPr>
          <w:rFonts w:ascii="仿宋" w:hAnsi="仿宋" w:eastAsia="仿宋" w:cs="仿宋"/>
          <w:spacing w:val="33"/>
          <w:sz w:val="31"/>
          <w:szCs w:val="31"/>
        </w:rPr>
        <w:t>位</w:t>
      </w:r>
      <w:r>
        <w:rPr>
          <w:rFonts w:ascii="仿宋" w:hAnsi="仿宋" w:eastAsia="仿宋" w:cs="仿宋"/>
          <w:spacing w:val="18"/>
          <w:sz w:val="31"/>
          <w:szCs w:val="31"/>
        </w:rPr>
        <w:t>价值</w:t>
      </w:r>
      <w:r>
        <w:rPr>
          <w:rFonts w:ascii="宋体" w:hAnsi="宋体" w:eastAsia="宋体" w:cs="宋体"/>
          <w:spacing w:val="18"/>
          <w:sz w:val="31"/>
          <w:szCs w:val="31"/>
        </w:rPr>
        <w:t>100</w:t>
      </w:r>
      <w:r>
        <w:rPr>
          <w:rFonts w:ascii="仿宋" w:hAnsi="仿宋" w:eastAsia="仿宋" w:cs="仿宋"/>
          <w:spacing w:val="18"/>
          <w:sz w:val="31"/>
          <w:szCs w:val="31"/>
        </w:rPr>
        <w:t>万元</w:t>
      </w:r>
      <w:r>
        <w:rPr>
          <w:rFonts w:hint="eastAsia" w:ascii="仿宋" w:hAnsi="仿宋" w:eastAsia="仿宋" w:cs="仿宋"/>
          <w:spacing w:val="18"/>
          <w:sz w:val="31"/>
          <w:szCs w:val="31"/>
          <w:lang w:eastAsia="zh-CN"/>
        </w:rPr>
        <w:t>（</w:t>
      </w:r>
      <w:r>
        <w:rPr>
          <w:rFonts w:ascii="仿宋" w:hAnsi="仿宋" w:eastAsia="仿宋" w:cs="仿宋"/>
          <w:spacing w:val="18"/>
          <w:sz w:val="31"/>
          <w:szCs w:val="31"/>
        </w:rPr>
        <w:t>含</w:t>
      </w:r>
      <w:r>
        <w:rPr>
          <w:rFonts w:hint="eastAsia" w:ascii="仿宋" w:hAnsi="仿宋" w:eastAsia="仿宋" w:cs="仿宋"/>
          <w:spacing w:val="18"/>
          <w:sz w:val="31"/>
          <w:szCs w:val="31"/>
          <w:lang w:eastAsia="zh-CN"/>
        </w:rPr>
        <w:t>）</w:t>
      </w:r>
      <w:r>
        <w:rPr>
          <w:rFonts w:ascii="仿宋" w:hAnsi="仿宋" w:eastAsia="仿宋" w:cs="仿宋"/>
          <w:spacing w:val="18"/>
          <w:sz w:val="31"/>
          <w:szCs w:val="31"/>
        </w:rPr>
        <w:t>以上设备</w:t>
      </w:r>
      <w:r>
        <w:rPr>
          <w:rFonts w:hint="eastAsia" w:ascii="仿宋" w:hAnsi="仿宋" w:eastAsia="仿宋" w:cs="仿宋"/>
          <w:spacing w:val="18"/>
          <w:sz w:val="31"/>
          <w:szCs w:val="31"/>
          <w:lang w:eastAsia="zh-CN"/>
        </w:rPr>
        <w:t>（</w:t>
      </w:r>
      <w:r>
        <w:rPr>
          <w:rFonts w:ascii="仿宋" w:hAnsi="仿宋" w:eastAsia="仿宋" w:cs="仿宋"/>
          <w:spacing w:val="18"/>
          <w:sz w:val="31"/>
          <w:szCs w:val="31"/>
        </w:rPr>
        <w:t>不含车辆</w:t>
      </w:r>
      <w:r>
        <w:rPr>
          <w:rFonts w:hint="eastAsia" w:ascii="仿宋" w:hAnsi="仿宋" w:eastAsia="仿宋" w:cs="仿宋"/>
          <w:spacing w:val="18"/>
          <w:sz w:val="31"/>
          <w:szCs w:val="31"/>
          <w:lang w:eastAsia="zh-CN"/>
        </w:rPr>
        <w:t>）</w:t>
      </w:r>
      <w:r>
        <w:rPr>
          <w:rFonts w:hint="eastAsia" w:ascii="仿宋" w:hAnsi="仿宋" w:eastAsia="仿宋" w:cs="仿宋"/>
          <w:spacing w:val="18"/>
          <w:sz w:val="31"/>
          <w:szCs w:val="31"/>
          <w:lang w:val="en-US" w:eastAsia="zh-CN"/>
        </w:rPr>
        <w:t>0</w:t>
      </w:r>
      <w:r>
        <w:rPr>
          <w:rFonts w:ascii="仿宋" w:hAnsi="仿宋" w:eastAsia="仿宋" w:cs="仿宋"/>
          <w:spacing w:val="18"/>
          <w:sz w:val="31"/>
          <w:szCs w:val="31"/>
        </w:rPr>
        <w:t>台</w:t>
      </w:r>
      <w:r>
        <w:rPr>
          <w:rFonts w:hint="eastAsia" w:ascii="仿宋" w:hAnsi="仿宋" w:eastAsia="仿宋" w:cs="仿宋"/>
          <w:spacing w:val="18"/>
          <w:sz w:val="31"/>
          <w:szCs w:val="31"/>
          <w:lang w:eastAsia="zh-CN"/>
        </w:rPr>
        <w:t>（</w:t>
      </w:r>
      <w:r>
        <w:rPr>
          <w:rFonts w:ascii="仿宋" w:hAnsi="仿宋" w:eastAsia="仿宋" w:cs="仿宋"/>
          <w:spacing w:val="18"/>
          <w:sz w:val="31"/>
          <w:szCs w:val="31"/>
        </w:rPr>
        <w:t>套</w:t>
      </w:r>
      <w:r>
        <w:rPr>
          <w:rFonts w:hint="eastAsia" w:ascii="仿宋" w:hAnsi="仿宋" w:eastAsia="仿宋" w:cs="仿宋"/>
          <w:spacing w:val="18"/>
          <w:sz w:val="31"/>
          <w:szCs w:val="31"/>
          <w:lang w:eastAsia="zh-CN"/>
        </w:rPr>
        <w:t>）</w:t>
      </w:r>
      <w:r>
        <w:rPr>
          <w:rFonts w:ascii="仿宋" w:hAnsi="仿宋" w:eastAsia="仿宋" w:cs="仿宋"/>
          <w:spacing w:val="18"/>
          <w:sz w:val="31"/>
          <w:szCs w:val="31"/>
        </w:rPr>
        <w:t xml:space="preserve"> 。</w:t>
      </w:r>
    </w:p>
    <w:p w14:paraId="7513FAC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14" w:firstLineChars="139"/>
        <w:jc w:val="center"/>
        <w:textAlignment w:val="baseline"/>
        <w:rPr>
          <w:rFonts w:hint="eastAsia" w:ascii="仿宋" w:hAnsi="仿宋" w:eastAsia="仿宋"/>
          <w:b/>
          <w:bCs/>
          <w:sz w:val="44"/>
        </w:rPr>
      </w:pPr>
      <w:r>
        <w:rPr>
          <w:rFonts w:hint="eastAsia" w:ascii="仿宋" w:hAnsi="仿宋" w:eastAsia="仿宋"/>
          <w:b/>
          <w:bCs/>
          <w:sz w:val="44"/>
        </w:rPr>
        <w:t>第四部分  名词解释</w:t>
      </w:r>
    </w:p>
    <w:p w14:paraId="3EA1DC4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91" w:firstLineChars="139"/>
        <w:textAlignment w:val="baseline"/>
        <w:rPr>
          <w:rFonts w:ascii="Arial"/>
          <w:sz w:val="21"/>
        </w:rPr>
      </w:pPr>
    </w:p>
    <w:p w14:paraId="5AAF147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3" w:firstLineChars="139"/>
        <w:textAlignment w:val="baseline"/>
        <w:rPr>
          <w:rFonts w:ascii="仿宋" w:hAnsi="仿宋" w:eastAsia="仿宋" w:cs="仿宋"/>
          <w:sz w:val="31"/>
          <w:szCs w:val="31"/>
        </w:rPr>
      </w:pPr>
      <w:r>
        <w:rPr>
          <w:rFonts w:ascii="仿宋" w:hAnsi="仿宋" w:eastAsia="仿宋" w:cs="仿宋"/>
          <w:spacing w:val="8"/>
          <w:sz w:val="31"/>
          <w:szCs w:val="31"/>
          <w14:textOutline w14:w="5791" w14:cap="flat" w14:cmpd="sng">
            <w14:solidFill>
              <w14:srgbClr w14:val="000000"/>
            </w14:solidFill>
            <w14:prstDash w14:val="solid"/>
            <w14:miter w14:val="0"/>
          </w14:textOutline>
        </w:rPr>
        <w:t>一、财政拨款收入：</w:t>
      </w:r>
      <w:r>
        <w:rPr>
          <w:rFonts w:ascii="仿宋" w:hAnsi="仿宋" w:eastAsia="仿宋" w:cs="仿宋"/>
          <w:spacing w:val="8"/>
          <w:sz w:val="31"/>
          <w:szCs w:val="31"/>
        </w:rPr>
        <w:t>指单位从同级财政部门取得的财</w:t>
      </w:r>
      <w:r>
        <w:rPr>
          <w:rFonts w:ascii="仿宋" w:hAnsi="仿宋" w:eastAsia="仿宋" w:cs="仿宋"/>
          <w:spacing w:val="6"/>
          <w:sz w:val="31"/>
          <w:szCs w:val="31"/>
        </w:rPr>
        <w:t>政</w:t>
      </w:r>
      <w:r>
        <w:rPr>
          <w:rFonts w:ascii="仿宋" w:hAnsi="仿宋" w:eastAsia="仿宋" w:cs="仿宋"/>
          <w:sz w:val="31"/>
          <w:szCs w:val="31"/>
        </w:rPr>
        <w:t xml:space="preserve"> </w:t>
      </w:r>
      <w:r>
        <w:rPr>
          <w:rFonts w:ascii="仿宋" w:hAnsi="仿宋" w:eastAsia="仿宋" w:cs="仿宋"/>
          <w:spacing w:val="3"/>
          <w:sz w:val="31"/>
          <w:szCs w:val="31"/>
        </w:rPr>
        <w:t>预算资金</w:t>
      </w:r>
      <w:r>
        <w:rPr>
          <w:rFonts w:ascii="仿宋" w:hAnsi="仿宋" w:eastAsia="仿宋" w:cs="仿宋"/>
          <w:spacing w:val="2"/>
          <w:sz w:val="31"/>
          <w:szCs w:val="31"/>
        </w:rPr>
        <w:t>。</w:t>
      </w:r>
    </w:p>
    <w:p w14:paraId="2864947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二、</w:t>
      </w:r>
      <w:r>
        <w:rPr>
          <w:rFonts w:ascii="仿宋" w:hAnsi="仿宋" w:eastAsia="仿宋" w:cs="仿宋"/>
          <w:spacing w:val="2"/>
          <w:sz w:val="31"/>
          <w:szCs w:val="31"/>
        </w:rPr>
        <w:t xml:space="preserve"> </w:t>
      </w:r>
      <w:r>
        <w:rPr>
          <w:rFonts w:ascii="仿宋" w:hAnsi="仿宋" w:eastAsia="仿宋" w:cs="仿宋"/>
          <w:spacing w:val="2"/>
          <w:sz w:val="31"/>
          <w:szCs w:val="31"/>
          <w14:textOutline w14:w="5791" w14:cap="flat" w14:cmpd="sng">
            <w14:solidFill>
              <w14:srgbClr w14:val="000000"/>
            </w14:solidFill>
            <w14:prstDash w14:val="solid"/>
            <w14:miter w14:val="0"/>
          </w14:textOutline>
        </w:rPr>
        <w:t>上级补助收入：</w:t>
      </w:r>
      <w:r>
        <w:rPr>
          <w:rFonts w:ascii="仿宋" w:hAnsi="仿宋" w:eastAsia="仿宋" w:cs="仿宋"/>
          <w:spacing w:val="2"/>
          <w:sz w:val="31"/>
          <w:szCs w:val="31"/>
        </w:rPr>
        <w:t>指从</w:t>
      </w:r>
      <w:r>
        <w:rPr>
          <w:rFonts w:ascii="仿宋" w:hAnsi="仿宋" w:eastAsia="仿宋" w:cs="仿宋"/>
          <w:spacing w:val="1"/>
          <w:sz w:val="31"/>
          <w:szCs w:val="31"/>
        </w:rPr>
        <w:t>主管部门和上级单位取得的非</w:t>
      </w:r>
      <w:r>
        <w:rPr>
          <w:rFonts w:ascii="仿宋" w:hAnsi="仿宋" w:eastAsia="仿宋" w:cs="仿宋"/>
          <w:sz w:val="31"/>
          <w:szCs w:val="31"/>
        </w:rPr>
        <w:t xml:space="preserve"> </w:t>
      </w:r>
      <w:r>
        <w:rPr>
          <w:rFonts w:ascii="仿宋" w:hAnsi="仿宋" w:eastAsia="仿宋" w:cs="仿宋"/>
          <w:spacing w:val="-1"/>
          <w:sz w:val="31"/>
          <w:szCs w:val="31"/>
        </w:rPr>
        <w:t>财政补助</w:t>
      </w:r>
      <w:r>
        <w:rPr>
          <w:rFonts w:ascii="仿宋" w:hAnsi="仿宋" w:eastAsia="仿宋" w:cs="仿宋"/>
          <w:sz w:val="31"/>
          <w:szCs w:val="31"/>
        </w:rPr>
        <w:t>收入。</w:t>
      </w:r>
    </w:p>
    <w:p w14:paraId="7CF1BE2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三</w:t>
      </w:r>
      <w:r>
        <w:rPr>
          <w:rFonts w:ascii="仿宋" w:hAnsi="仿宋" w:eastAsia="仿宋" w:cs="仿宋"/>
          <w:spacing w:val="1"/>
          <w:sz w:val="31"/>
          <w:szCs w:val="31"/>
          <w14:textOutline w14:w="5791" w14:cap="flat" w14:cmpd="sng">
            <w14:solidFill>
              <w14:srgbClr w14:val="000000"/>
            </w14:solidFill>
            <w14:prstDash w14:val="solid"/>
            <w14:miter w14:val="0"/>
          </w14:textOutline>
        </w:rPr>
        <w:t>、</w:t>
      </w:r>
      <w:r>
        <w:rPr>
          <w:rFonts w:ascii="仿宋" w:hAnsi="仿宋" w:eastAsia="仿宋" w:cs="仿宋"/>
          <w:spacing w:val="1"/>
          <w:sz w:val="31"/>
          <w:szCs w:val="31"/>
        </w:rPr>
        <w:t xml:space="preserve"> </w:t>
      </w:r>
      <w:r>
        <w:rPr>
          <w:rFonts w:ascii="仿宋" w:hAnsi="仿宋" w:eastAsia="仿宋" w:cs="仿宋"/>
          <w:spacing w:val="1"/>
          <w:sz w:val="31"/>
          <w:szCs w:val="31"/>
          <w14:textOutline w14:w="5791" w14:cap="flat" w14:cmpd="sng">
            <w14:solidFill>
              <w14:srgbClr w14:val="000000"/>
            </w14:solidFill>
            <w14:prstDash w14:val="solid"/>
            <w14:miter w14:val="0"/>
          </w14:textOutline>
        </w:rPr>
        <w:t>事业收入：指事业单位开展专业业务活动及辅助活</w:t>
      </w:r>
      <w:r>
        <w:rPr>
          <w:rFonts w:ascii="仿宋" w:hAnsi="仿宋" w:eastAsia="仿宋" w:cs="仿宋"/>
          <w:sz w:val="31"/>
          <w:szCs w:val="31"/>
        </w:rPr>
        <w:t xml:space="preserve"> </w:t>
      </w:r>
      <w:r>
        <w:rPr>
          <w:rFonts w:ascii="仿宋" w:hAnsi="仿宋" w:eastAsia="仿宋" w:cs="仿宋"/>
          <w:spacing w:val="-4"/>
          <w:sz w:val="31"/>
          <w:szCs w:val="31"/>
          <w14:textOutline w14:w="5791" w14:cap="flat" w14:cmpd="sng">
            <w14:solidFill>
              <w14:srgbClr w14:val="000000"/>
            </w14:solidFill>
            <w14:prstDash w14:val="solid"/>
            <w14:miter w14:val="0"/>
          </w14:textOutline>
        </w:rPr>
        <w:t>动取</w:t>
      </w:r>
      <w:r>
        <w:rPr>
          <w:rFonts w:ascii="仿宋" w:hAnsi="仿宋" w:eastAsia="仿宋" w:cs="仿宋"/>
          <w:spacing w:val="-2"/>
          <w:sz w:val="31"/>
          <w:szCs w:val="31"/>
          <w14:textOutline w14:w="5791" w14:cap="flat" w14:cmpd="sng">
            <w14:solidFill>
              <w14:srgbClr w14:val="000000"/>
            </w14:solidFill>
            <w14:prstDash w14:val="solid"/>
            <w14:miter w14:val="0"/>
          </w14:textOutline>
        </w:rPr>
        <w:t>得的收入。</w:t>
      </w:r>
    </w:p>
    <w:p w14:paraId="5E10A52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3" w:firstLineChars="139"/>
        <w:textAlignment w:val="baseline"/>
        <w:rPr>
          <w:rFonts w:ascii="仿宋" w:hAnsi="仿宋" w:eastAsia="仿宋" w:cs="仿宋"/>
          <w:sz w:val="31"/>
          <w:szCs w:val="31"/>
        </w:rPr>
      </w:pPr>
      <w:r>
        <w:rPr>
          <w:rFonts w:ascii="仿宋" w:hAnsi="仿宋" w:eastAsia="仿宋" w:cs="仿宋"/>
          <w:spacing w:val="1"/>
          <w:sz w:val="31"/>
          <w:szCs w:val="31"/>
          <w14:textOutline w14:w="5791" w14:cap="flat" w14:cmpd="sng">
            <w14:solidFill>
              <w14:srgbClr w14:val="000000"/>
            </w14:solidFill>
            <w14:prstDash w14:val="solid"/>
            <w14:miter w14:val="0"/>
          </w14:textOutline>
        </w:rPr>
        <w:t>四、经营收入：</w:t>
      </w:r>
      <w:r>
        <w:rPr>
          <w:rFonts w:ascii="仿宋" w:hAnsi="仿宋" w:eastAsia="仿宋" w:cs="仿宋"/>
          <w:spacing w:val="1"/>
          <w:sz w:val="31"/>
          <w:szCs w:val="31"/>
        </w:rPr>
        <w:t>指事业单位在专</w:t>
      </w:r>
      <w:r>
        <w:rPr>
          <w:rFonts w:ascii="仿宋" w:hAnsi="仿宋" w:eastAsia="仿宋" w:cs="仿宋"/>
          <w:sz w:val="31"/>
          <w:szCs w:val="31"/>
        </w:rPr>
        <w:t xml:space="preserve">业业务活动及其辅助活 </w:t>
      </w:r>
      <w:r>
        <w:rPr>
          <w:rFonts w:ascii="仿宋" w:hAnsi="仿宋" w:eastAsia="仿宋" w:cs="仿宋"/>
          <w:spacing w:val="8"/>
          <w:sz w:val="31"/>
          <w:szCs w:val="31"/>
        </w:rPr>
        <w:t>动</w:t>
      </w:r>
      <w:r>
        <w:rPr>
          <w:rFonts w:ascii="仿宋" w:hAnsi="仿宋" w:eastAsia="仿宋" w:cs="仿宋"/>
          <w:spacing w:val="6"/>
          <w:sz w:val="31"/>
          <w:szCs w:val="31"/>
        </w:rPr>
        <w:t>之外开展非独立核算经营活动取得的收入。</w:t>
      </w:r>
    </w:p>
    <w:p w14:paraId="5DB4BA9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2" w:firstLineChars="139"/>
        <w:textAlignment w:val="baseline"/>
        <w:rPr>
          <w:rFonts w:ascii="仿宋" w:hAnsi="仿宋" w:eastAsia="仿宋" w:cs="仿宋"/>
          <w:sz w:val="31"/>
          <w:szCs w:val="31"/>
        </w:rPr>
      </w:pPr>
      <w:r>
        <w:rPr>
          <w:rFonts w:ascii="仿宋" w:hAnsi="仿宋" w:eastAsia="仿宋" w:cs="仿宋"/>
          <w:spacing w:val="15"/>
          <w:sz w:val="31"/>
          <w:szCs w:val="31"/>
          <w14:textOutline w14:w="5791" w14:cap="flat" w14:cmpd="sng">
            <w14:solidFill>
              <w14:srgbClr w14:val="000000"/>
            </w14:solidFill>
            <w14:prstDash w14:val="solid"/>
            <w14:miter w14:val="0"/>
          </w14:textOutline>
        </w:rPr>
        <w:t>五</w:t>
      </w:r>
      <w:r>
        <w:rPr>
          <w:rFonts w:ascii="仿宋" w:hAnsi="仿宋" w:eastAsia="仿宋" w:cs="仿宋"/>
          <w:spacing w:val="8"/>
          <w:sz w:val="31"/>
          <w:szCs w:val="31"/>
          <w14:textOutline w14:w="5791" w14:cap="flat" w14:cmpd="sng">
            <w14:solidFill>
              <w14:srgbClr w14:val="000000"/>
            </w14:solidFill>
            <w14:prstDash w14:val="solid"/>
            <w14:miter w14:val="0"/>
          </w14:textOutline>
        </w:rPr>
        <w:t>、附属单位上缴收入：</w:t>
      </w:r>
      <w:r>
        <w:rPr>
          <w:rFonts w:ascii="仿宋" w:hAnsi="仿宋" w:eastAsia="仿宋" w:cs="仿宋"/>
          <w:spacing w:val="8"/>
          <w:sz w:val="31"/>
          <w:szCs w:val="31"/>
        </w:rPr>
        <w:t>指事业单位附属独立核算单位</w:t>
      </w:r>
      <w:r>
        <w:rPr>
          <w:rFonts w:ascii="仿宋" w:hAnsi="仿宋" w:eastAsia="仿宋" w:cs="仿宋"/>
          <w:sz w:val="31"/>
          <w:szCs w:val="31"/>
        </w:rPr>
        <w:t xml:space="preserve"> </w:t>
      </w:r>
      <w:r>
        <w:rPr>
          <w:rFonts w:ascii="仿宋" w:hAnsi="仿宋" w:eastAsia="仿宋" w:cs="仿宋"/>
          <w:spacing w:val="8"/>
          <w:sz w:val="31"/>
          <w:szCs w:val="31"/>
        </w:rPr>
        <w:t>按照有关规定上缴的收入</w:t>
      </w:r>
      <w:r>
        <w:rPr>
          <w:rFonts w:ascii="仿宋" w:hAnsi="仿宋" w:eastAsia="仿宋" w:cs="仿宋"/>
          <w:spacing w:val="6"/>
          <w:sz w:val="31"/>
          <w:szCs w:val="31"/>
        </w:rPr>
        <w:t>。</w:t>
      </w:r>
    </w:p>
    <w:p w14:paraId="263D8B8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六、其他收入：</w:t>
      </w:r>
      <w:r>
        <w:rPr>
          <w:rFonts w:ascii="仿宋" w:hAnsi="仿宋" w:eastAsia="仿宋" w:cs="仿宋"/>
          <w:spacing w:val="2"/>
          <w:sz w:val="31"/>
          <w:szCs w:val="31"/>
        </w:rPr>
        <w:t>指除上述收入以外</w:t>
      </w:r>
      <w:r>
        <w:rPr>
          <w:rFonts w:ascii="仿宋" w:hAnsi="仿宋" w:eastAsia="仿宋" w:cs="仿宋"/>
          <w:spacing w:val="1"/>
          <w:sz w:val="31"/>
          <w:szCs w:val="31"/>
        </w:rPr>
        <w:t>的各项收入。包括未</w:t>
      </w:r>
      <w:r>
        <w:rPr>
          <w:rFonts w:ascii="仿宋" w:hAnsi="仿宋" w:eastAsia="仿宋" w:cs="仿宋"/>
          <w:sz w:val="31"/>
          <w:szCs w:val="31"/>
        </w:rPr>
        <w:t xml:space="preserve"> </w:t>
      </w:r>
      <w:r>
        <w:rPr>
          <w:rFonts w:ascii="仿宋" w:hAnsi="仿宋" w:eastAsia="仿宋" w:cs="仿宋"/>
          <w:spacing w:val="9"/>
          <w:sz w:val="31"/>
          <w:szCs w:val="31"/>
        </w:rPr>
        <w:t>纳入财政预算或财政专户管理的投资收益、银行存款利息</w:t>
      </w:r>
      <w:r>
        <w:rPr>
          <w:rFonts w:ascii="仿宋" w:hAnsi="仿宋" w:eastAsia="仿宋" w:cs="仿宋"/>
          <w:spacing w:val="4"/>
          <w:sz w:val="31"/>
          <w:szCs w:val="31"/>
        </w:rPr>
        <w:t>收</w:t>
      </w:r>
      <w:r>
        <w:rPr>
          <w:rFonts w:ascii="仿宋" w:hAnsi="仿宋" w:eastAsia="仿宋" w:cs="仿宋"/>
          <w:spacing w:val="9"/>
          <w:sz w:val="31"/>
          <w:szCs w:val="31"/>
        </w:rPr>
        <w:t>入、租金收入、捐赠收入，现金盘盈收入、存货盘盈收入</w:t>
      </w:r>
      <w:r>
        <w:rPr>
          <w:rFonts w:ascii="仿宋" w:hAnsi="仿宋" w:eastAsia="仿宋" w:cs="仿宋"/>
          <w:spacing w:val="5"/>
          <w:sz w:val="31"/>
          <w:szCs w:val="31"/>
        </w:rPr>
        <w:t>、</w:t>
      </w:r>
      <w:r>
        <w:rPr>
          <w:rFonts w:ascii="仿宋" w:hAnsi="仿宋" w:eastAsia="仿宋" w:cs="仿宋"/>
          <w:spacing w:val="9"/>
          <w:sz w:val="31"/>
          <w:szCs w:val="31"/>
        </w:rPr>
        <w:t>收回已核销应收及预付款项、无法偿付的应付及预收款项</w:t>
      </w:r>
      <w:r>
        <w:rPr>
          <w:rFonts w:ascii="仿宋" w:hAnsi="仿宋" w:eastAsia="仿宋" w:cs="仿宋"/>
          <w:spacing w:val="5"/>
          <w:sz w:val="31"/>
          <w:szCs w:val="31"/>
        </w:rPr>
        <w:t>，</w:t>
      </w:r>
      <w:r>
        <w:rPr>
          <w:rFonts w:ascii="仿宋" w:hAnsi="仿宋" w:eastAsia="仿宋" w:cs="仿宋"/>
          <w:sz w:val="31"/>
          <w:szCs w:val="31"/>
        </w:rPr>
        <w:t xml:space="preserve"> </w:t>
      </w:r>
      <w:r>
        <w:rPr>
          <w:rFonts w:ascii="仿宋" w:hAnsi="仿宋" w:eastAsia="仿宋" w:cs="仿宋"/>
          <w:spacing w:val="9"/>
          <w:sz w:val="31"/>
          <w:szCs w:val="31"/>
        </w:rPr>
        <w:t>省财政以外的同级单位取得的经费、从非省财政取得的</w:t>
      </w:r>
      <w:r>
        <w:rPr>
          <w:rFonts w:ascii="仿宋" w:hAnsi="仿宋" w:eastAsia="仿宋" w:cs="仿宋"/>
          <w:spacing w:val="4"/>
          <w:sz w:val="31"/>
          <w:szCs w:val="31"/>
        </w:rPr>
        <w:t>经</w:t>
      </w:r>
      <w:r>
        <w:rPr>
          <w:rFonts w:ascii="仿宋" w:hAnsi="仿宋" w:eastAsia="仿宋" w:cs="仿宋"/>
          <w:spacing w:val="12"/>
          <w:sz w:val="31"/>
          <w:szCs w:val="31"/>
        </w:rPr>
        <w:t>费</w:t>
      </w:r>
      <w:r>
        <w:rPr>
          <w:rFonts w:ascii="仿宋" w:hAnsi="仿宋" w:eastAsia="仿宋" w:cs="仿宋"/>
          <w:spacing w:val="9"/>
          <w:sz w:val="31"/>
          <w:szCs w:val="31"/>
        </w:rPr>
        <w:t>，</w:t>
      </w:r>
      <w:r>
        <w:rPr>
          <w:rFonts w:ascii="仿宋" w:hAnsi="仿宋" w:eastAsia="仿宋" w:cs="仿宋"/>
          <w:spacing w:val="6"/>
          <w:sz w:val="31"/>
          <w:szCs w:val="31"/>
        </w:rPr>
        <w:t>以及行政单位收到的财政专户管理资金等。</w:t>
      </w:r>
    </w:p>
    <w:p w14:paraId="34F09CB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七、</w:t>
      </w:r>
      <w:r>
        <w:rPr>
          <w:rFonts w:ascii="仿宋" w:hAnsi="仿宋" w:eastAsia="仿宋" w:cs="仿宋"/>
          <w:spacing w:val="2"/>
          <w:sz w:val="31"/>
          <w:szCs w:val="31"/>
        </w:rPr>
        <w:t xml:space="preserve"> </w:t>
      </w:r>
      <w:r>
        <w:rPr>
          <w:rFonts w:ascii="仿宋" w:hAnsi="仿宋" w:eastAsia="仿宋" w:cs="仿宋"/>
          <w:spacing w:val="2"/>
          <w:sz w:val="31"/>
          <w:szCs w:val="31"/>
          <w14:textOutline w14:w="5791" w14:cap="flat" w14:cmpd="sng">
            <w14:solidFill>
              <w14:srgbClr w14:val="000000"/>
            </w14:solidFill>
            <w14:prstDash w14:val="solid"/>
            <w14:miter w14:val="0"/>
          </w14:textOutline>
        </w:rPr>
        <w:t>使用非财政拨款结余</w:t>
      </w:r>
      <w:r>
        <w:rPr>
          <w:rFonts w:ascii="仿宋" w:hAnsi="仿宋" w:eastAsia="仿宋" w:cs="仿宋"/>
          <w:spacing w:val="2"/>
          <w:sz w:val="31"/>
          <w:szCs w:val="31"/>
        </w:rPr>
        <w:t xml:space="preserve"> </w:t>
      </w:r>
      <w:r>
        <w:rPr>
          <w:rFonts w:hint="eastAsia" w:ascii="仿宋" w:hAnsi="仿宋" w:eastAsia="仿宋" w:cs="仿宋"/>
          <w:spacing w:val="2"/>
          <w:sz w:val="31"/>
          <w:szCs w:val="31"/>
          <w:lang w:eastAsia="zh-CN"/>
        </w:rPr>
        <w:t>（</w:t>
      </w:r>
      <w:r>
        <w:rPr>
          <w:rFonts w:ascii="仿宋" w:hAnsi="仿宋" w:eastAsia="仿宋" w:cs="仿宋"/>
          <w:spacing w:val="2"/>
          <w:sz w:val="31"/>
          <w:szCs w:val="31"/>
          <w14:textOutline w14:w="5791" w14:cap="flat" w14:cmpd="sng">
            <w14:solidFill>
              <w14:srgbClr w14:val="000000"/>
            </w14:solidFill>
            <w14:prstDash w14:val="solid"/>
            <w14:miter w14:val="0"/>
          </w14:textOutline>
        </w:rPr>
        <w:t>含专用结余</w:t>
      </w:r>
      <w:r>
        <w:rPr>
          <w:rFonts w:hint="eastAsia" w:ascii="仿宋" w:hAnsi="仿宋" w:eastAsia="仿宋" w:cs="仿宋"/>
          <w:spacing w:val="2"/>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2"/>
          <w:sz w:val="31"/>
          <w:szCs w:val="31"/>
        </w:rPr>
        <w:t xml:space="preserve"> </w:t>
      </w:r>
      <w:r>
        <w:rPr>
          <w:rFonts w:ascii="仿宋" w:hAnsi="仿宋" w:eastAsia="仿宋" w:cs="仿宋"/>
          <w:spacing w:val="2"/>
          <w:sz w:val="31"/>
          <w:szCs w:val="31"/>
          <w14:textOutline w14:w="5791" w14:cap="flat" w14:cmpd="sng">
            <w14:solidFill>
              <w14:srgbClr w14:val="000000"/>
            </w14:solidFill>
            <w14:prstDash w14:val="solid"/>
            <w14:miter w14:val="0"/>
          </w14:textOutline>
        </w:rPr>
        <w:t>：</w:t>
      </w:r>
      <w:r>
        <w:rPr>
          <w:rFonts w:ascii="仿宋" w:hAnsi="仿宋" w:eastAsia="仿宋" w:cs="仿宋"/>
          <w:spacing w:val="2"/>
          <w:sz w:val="31"/>
          <w:szCs w:val="31"/>
        </w:rPr>
        <w:t>指事业</w:t>
      </w:r>
      <w:r>
        <w:rPr>
          <w:rFonts w:ascii="仿宋" w:hAnsi="仿宋" w:eastAsia="仿宋" w:cs="仿宋"/>
          <w:spacing w:val="1"/>
          <w:sz w:val="31"/>
          <w:szCs w:val="31"/>
        </w:rPr>
        <w:t>单</w:t>
      </w:r>
      <w:r>
        <w:rPr>
          <w:rFonts w:ascii="仿宋" w:hAnsi="仿宋" w:eastAsia="仿宋" w:cs="仿宋"/>
          <w:sz w:val="31"/>
          <w:szCs w:val="31"/>
        </w:rPr>
        <w:t xml:space="preserve">位 </w:t>
      </w:r>
      <w:r>
        <w:rPr>
          <w:rFonts w:ascii="仿宋" w:hAnsi="仿宋" w:eastAsia="仿宋" w:cs="仿宋"/>
          <w:spacing w:val="37"/>
          <w:sz w:val="31"/>
          <w:szCs w:val="31"/>
        </w:rPr>
        <w:t>按</w:t>
      </w:r>
      <w:r>
        <w:rPr>
          <w:rFonts w:ascii="仿宋" w:hAnsi="仿宋" w:eastAsia="仿宋" w:cs="仿宋"/>
          <w:spacing w:val="21"/>
          <w:sz w:val="31"/>
          <w:szCs w:val="31"/>
        </w:rPr>
        <w:t>照预算管理要求使用非财政拨款结余弥补收支差额的金</w:t>
      </w:r>
      <w:r>
        <w:rPr>
          <w:rFonts w:ascii="仿宋" w:hAnsi="仿宋" w:eastAsia="仿宋" w:cs="仿宋"/>
          <w:sz w:val="31"/>
          <w:szCs w:val="31"/>
        </w:rPr>
        <w:t xml:space="preserve"> </w:t>
      </w:r>
      <w:r>
        <w:rPr>
          <w:rFonts w:ascii="仿宋" w:hAnsi="仿宋" w:eastAsia="仿宋" w:cs="仿宋"/>
          <w:spacing w:val="6"/>
          <w:sz w:val="31"/>
          <w:szCs w:val="31"/>
        </w:rPr>
        <w:t>额，以及使用专用结余安排支出的金额</w:t>
      </w:r>
      <w:r>
        <w:rPr>
          <w:rFonts w:ascii="仿宋" w:hAnsi="仿宋" w:eastAsia="仿宋" w:cs="仿宋"/>
          <w:spacing w:val="4"/>
          <w:sz w:val="31"/>
          <w:szCs w:val="31"/>
        </w:rPr>
        <w:t>。</w:t>
      </w:r>
    </w:p>
    <w:p w14:paraId="51D1F85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5" w:firstLineChars="139"/>
        <w:textAlignment w:val="baseline"/>
        <w:rPr>
          <w:rFonts w:ascii="仿宋" w:hAnsi="仿宋" w:eastAsia="仿宋" w:cs="仿宋"/>
          <w:sz w:val="31"/>
          <w:szCs w:val="31"/>
        </w:rPr>
      </w:pPr>
      <w:r>
        <w:rPr>
          <w:rFonts w:ascii="仿宋" w:hAnsi="仿宋" w:eastAsia="仿宋" w:cs="仿宋"/>
          <w:spacing w:val="16"/>
          <w:sz w:val="31"/>
          <w:szCs w:val="31"/>
          <w14:textOutline w14:w="5791" w14:cap="flat" w14:cmpd="sng">
            <w14:solidFill>
              <w14:srgbClr w14:val="000000"/>
            </w14:solidFill>
            <w14:prstDash w14:val="solid"/>
            <w14:miter w14:val="0"/>
          </w14:textOutline>
        </w:rPr>
        <w:t>八</w:t>
      </w:r>
      <w:r>
        <w:rPr>
          <w:rFonts w:ascii="仿宋" w:hAnsi="仿宋" w:eastAsia="仿宋" w:cs="仿宋"/>
          <w:spacing w:val="12"/>
          <w:sz w:val="31"/>
          <w:szCs w:val="31"/>
          <w14:textOutline w14:w="5791" w14:cap="flat" w14:cmpd="sng">
            <w14:solidFill>
              <w14:srgbClr w14:val="000000"/>
            </w14:solidFill>
            <w14:prstDash w14:val="solid"/>
            <w14:miter w14:val="0"/>
          </w14:textOutline>
        </w:rPr>
        <w:t>、</w:t>
      </w:r>
      <w:r>
        <w:rPr>
          <w:rFonts w:ascii="仿宋" w:hAnsi="仿宋" w:eastAsia="仿宋" w:cs="仿宋"/>
          <w:spacing w:val="8"/>
          <w:sz w:val="31"/>
          <w:szCs w:val="31"/>
          <w14:textOutline w14:w="5791" w14:cap="flat" w14:cmpd="sng">
            <w14:solidFill>
              <w14:srgbClr w14:val="000000"/>
            </w14:solidFill>
            <w14:prstDash w14:val="solid"/>
            <w14:miter w14:val="0"/>
          </w14:textOutline>
        </w:rPr>
        <w:t>年初结转和结余：</w:t>
      </w:r>
      <w:r>
        <w:rPr>
          <w:rFonts w:ascii="仿宋" w:hAnsi="仿宋" w:eastAsia="仿宋" w:cs="仿宋"/>
          <w:spacing w:val="8"/>
          <w:sz w:val="31"/>
          <w:szCs w:val="31"/>
        </w:rPr>
        <w:t>指单位以前年度尚未完成、结转</w:t>
      </w:r>
      <w:r>
        <w:rPr>
          <w:rFonts w:ascii="仿宋" w:hAnsi="仿宋" w:eastAsia="仿宋" w:cs="仿宋"/>
          <w:spacing w:val="16"/>
          <w:sz w:val="31"/>
          <w:szCs w:val="31"/>
        </w:rPr>
        <w:t>到</w:t>
      </w:r>
      <w:r>
        <w:rPr>
          <w:rFonts w:ascii="仿宋" w:hAnsi="仿宋" w:eastAsia="仿宋" w:cs="仿宋"/>
          <w:spacing w:val="12"/>
          <w:sz w:val="31"/>
          <w:szCs w:val="31"/>
        </w:rPr>
        <w:t>本</w:t>
      </w:r>
      <w:r>
        <w:rPr>
          <w:rFonts w:ascii="仿宋" w:hAnsi="仿宋" w:eastAsia="仿宋" w:cs="仿宋"/>
          <w:spacing w:val="8"/>
          <w:sz w:val="31"/>
          <w:szCs w:val="31"/>
        </w:rPr>
        <w:t>年按有关规定用途继续使用的资金，或项目已完成等产</w:t>
      </w:r>
      <w:r>
        <w:rPr>
          <w:rFonts w:ascii="仿宋" w:hAnsi="仿宋" w:eastAsia="仿宋" w:cs="仿宋"/>
          <w:spacing w:val="-3"/>
          <w:sz w:val="31"/>
          <w:szCs w:val="31"/>
        </w:rPr>
        <w:t>生的结余资金</w:t>
      </w:r>
      <w:r>
        <w:rPr>
          <w:rFonts w:ascii="仿宋" w:hAnsi="仿宋" w:eastAsia="仿宋" w:cs="仿宋"/>
          <w:spacing w:val="-2"/>
          <w:sz w:val="31"/>
          <w:szCs w:val="31"/>
        </w:rPr>
        <w:t>。</w:t>
      </w:r>
    </w:p>
    <w:p w14:paraId="59D69BD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九、结余分配：</w:t>
      </w:r>
      <w:r>
        <w:rPr>
          <w:rFonts w:ascii="仿宋" w:hAnsi="仿宋" w:eastAsia="仿宋" w:cs="仿宋"/>
          <w:spacing w:val="2"/>
          <w:sz w:val="31"/>
          <w:szCs w:val="31"/>
        </w:rPr>
        <w:t>指事业单位按照会计制度规定缴纳的</w:t>
      </w:r>
      <w:r>
        <w:rPr>
          <w:rFonts w:ascii="仿宋" w:hAnsi="仿宋" w:eastAsia="仿宋" w:cs="仿宋"/>
          <w:spacing w:val="1"/>
          <w:sz w:val="31"/>
          <w:szCs w:val="31"/>
        </w:rPr>
        <w:t>所</w:t>
      </w:r>
      <w:r>
        <w:rPr>
          <w:rFonts w:ascii="仿宋" w:hAnsi="仿宋" w:eastAsia="仿宋" w:cs="仿宋"/>
          <w:sz w:val="31"/>
          <w:szCs w:val="31"/>
        </w:rPr>
        <w:t xml:space="preserve"> </w:t>
      </w:r>
      <w:r>
        <w:rPr>
          <w:rFonts w:ascii="仿宋" w:hAnsi="仿宋" w:eastAsia="仿宋" w:cs="仿宋"/>
          <w:spacing w:val="12"/>
          <w:sz w:val="31"/>
          <w:szCs w:val="31"/>
        </w:rPr>
        <w:t>得税</w:t>
      </w:r>
      <w:r>
        <w:rPr>
          <w:rFonts w:ascii="仿宋" w:hAnsi="仿宋" w:eastAsia="仿宋" w:cs="仿宋"/>
          <w:spacing w:val="10"/>
          <w:sz w:val="31"/>
          <w:szCs w:val="31"/>
        </w:rPr>
        <w:t>、</w:t>
      </w:r>
      <w:r>
        <w:rPr>
          <w:rFonts w:ascii="仿宋" w:hAnsi="仿宋" w:eastAsia="仿宋" w:cs="仿宋"/>
          <w:spacing w:val="6"/>
          <w:sz w:val="31"/>
          <w:szCs w:val="31"/>
        </w:rPr>
        <w:t>提取的专用结余以及转入非财政拨款结余的金额等。</w:t>
      </w:r>
    </w:p>
    <w:p w14:paraId="588F7B0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139"/>
        <w:textAlignment w:val="baseline"/>
        <w:rPr>
          <w:rFonts w:ascii="仿宋" w:hAnsi="仿宋" w:eastAsia="仿宋" w:cs="仿宋"/>
          <w:sz w:val="31"/>
          <w:szCs w:val="31"/>
        </w:rPr>
      </w:pPr>
      <w:r>
        <w:rPr>
          <w:rFonts w:ascii="仿宋" w:hAnsi="仿宋" w:eastAsia="仿宋" w:cs="仿宋"/>
          <w:spacing w:val="12"/>
          <w:sz w:val="31"/>
          <w:szCs w:val="31"/>
          <w14:textOutline w14:w="5791" w14:cap="flat" w14:cmpd="sng">
            <w14:solidFill>
              <w14:srgbClr w14:val="000000"/>
            </w14:solidFill>
            <w14:prstDash w14:val="solid"/>
            <w14:miter w14:val="0"/>
          </w14:textOutline>
        </w:rPr>
        <w:t>十</w:t>
      </w:r>
      <w:r>
        <w:rPr>
          <w:rFonts w:ascii="仿宋" w:hAnsi="仿宋" w:eastAsia="仿宋" w:cs="仿宋"/>
          <w:spacing w:val="8"/>
          <w:sz w:val="31"/>
          <w:szCs w:val="31"/>
          <w14:textOutline w14:w="5791" w14:cap="flat" w14:cmpd="sng">
            <w14:solidFill>
              <w14:srgbClr w14:val="000000"/>
            </w14:solidFill>
            <w14:prstDash w14:val="solid"/>
            <w14:miter w14:val="0"/>
          </w14:textOutline>
        </w:rPr>
        <w:t>、年末结转和结余：</w:t>
      </w:r>
      <w:r>
        <w:rPr>
          <w:rFonts w:ascii="仿宋" w:hAnsi="仿宋" w:eastAsia="仿宋" w:cs="仿宋"/>
          <w:spacing w:val="8"/>
          <w:sz w:val="31"/>
          <w:szCs w:val="31"/>
        </w:rPr>
        <w:t>指单位按有关规定结转到下年或</w:t>
      </w:r>
      <w:r>
        <w:rPr>
          <w:rFonts w:ascii="仿宋" w:hAnsi="仿宋" w:eastAsia="仿宋" w:cs="仿宋"/>
          <w:sz w:val="31"/>
          <w:szCs w:val="31"/>
        </w:rPr>
        <w:t xml:space="preserve"> </w:t>
      </w:r>
      <w:r>
        <w:rPr>
          <w:rFonts w:ascii="仿宋" w:hAnsi="仿宋" w:eastAsia="仿宋" w:cs="仿宋"/>
          <w:spacing w:val="32"/>
          <w:sz w:val="31"/>
          <w:szCs w:val="31"/>
        </w:rPr>
        <w:t>以</w:t>
      </w:r>
      <w:r>
        <w:rPr>
          <w:rFonts w:ascii="仿宋" w:hAnsi="仿宋" w:eastAsia="仿宋" w:cs="仿宋"/>
          <w:spacing w:val="21"/>
          <w:sz w:val="31"/>
          <w:szCs w:val="31"/>
        </w:rPr>
        <w:t>后年度继续使用的资金，或项目已完成等产生的结余资</w:t>
      </w:r>
      <w:r>
        <w:rPr>
          <w:rFonts w:ascii="仿宋" w:hAnsi="仿宋" w:eastAsia="仿宋" w:cs="仿宋"/>
          <w:spacing w:val="-16"/>
          <w:sz w:val="31"/>
          <w:szCs w:val="31"/>
        </w:rPr>
        <w:t>金。</w:t>
      </w:r>
    </w:p>
    <w:p w14:paraId="2C98AF7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十一、基本支出：</w:t>
      </w:r>
      <w:r>
        <w:rPr>
          <w:rFonts w:ascii="仿宋" w:hAnsi="仿宋" w:eastAsia="仿宋" w:cs="仿宋"/>
          <w:spacing w:val="2"/>
          <w:sz w:val="31"/>
          <w:szCs w:val="31"/>
        </w:rPr>
        <w:t>指为保障机构正</w:t>
      </w:r>
      <w:r>
        <w:rPr>
          <w:rFonts w:ascii="仿宋" w:hAnsi="仿宋" w:eastAsia="仿宋" w:cs="仿宋"/>
          <w:spacing w:val="1"/>
          <w:sz w:val="31"/>
          <w:szCs w:val="31"/>
        </w:rPr>
        <w:t>常运转、完成日常工</w:t>
      </w:r>
      <w:r>
        <w:rPr>
          <w:rFonts w:ascii="仿宋" w:hAnsi="仿宋" w:eastAsia="仿宋" w:cs="仿宋"/>
          <w:sz w:val="31"/>
          <w:szCs w:val="31"/>
        </w:rPr>
        <w:t xml:space="preserve"> </w:t>
      </w:r>
      <w:r>
        <w:rPr>
          <w:rFonts w:ascii="仿宋" w:hAnsi="仿宋" w:eastAsia="仿宋" w:cs="仿宋"/>
          <w:spacing w:val="10"/>
          <w:sz w:val="31"/>
          <w:szCs w:val="31"/>
        </w:rPr>
        <w:t>作</w:t>
      </w:r>
      <w:r>
        <w:rPr>
          <w:rFonts w:ascii="仿宋" w:hAnsi="仿宋" w:eastAsia="仿宋" w:cs="仿宋"/>
          <w:spacing w:val="6"/>
          <w:sz w:val="31"/>
          <w:szCs w:val="31"/>
        </w:rPr>
        <w:t>任务而发生的人员支出和公用支出。</w:t>
      </w:r>
    </w:p>
    <w:p w14:paraId="0BD3588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十二、项目支出：</w:t>
      </w:r>
      <w:r>
        <w:rPr>
          <w:rFonts w:ascii="仿宋" w:hAnsi="仿宋" w:eastAsia="仿宋" w:cs="仿宋"/>
          <w:spacing w:val="2"/>
          <w:sz w:val="31"/>
          <w:szCs w:val="31"/>
        </w:rPr>
        <w:t>指在基本支出</w:t>
      </w:r>
      <w:r>
        <w:rPr>
          <w:rFonts w:ascii="仿宋" w:hAnsi="仿宋" w:eastAsia="仿宋" w:cs="仿宋"/>
          <w:spacing w:val="1"/>
          <w:sz w:val="31"/>
          <w:szCs w:val="31"/>
        </w:rPr>
        <w:t>之外为完成特定行政任</w:t>
      </w:r>
      <w:r>
        <w:rPr>
          <w:rFonts w:ascii="仿宋" w:hAnsi="仿宋" w:eastAsia="仿宋" w:cs="仿宋"/>
          <w:sz w:val="31"/>
          <w:szCs w:val="31"/>
        </w:rPr>
        <w:t xml:space="preserve"> </w:t>
      </w:r>
      <w:r>
        <w:rPr>
          <w:rFonts w:ascii="仿宋" w:hAnsi="仿宋" w:eastAsia="仿宋" w:cs="仿宋"/>
          <w:spacing w:val="8"/>
          <w:sz w:val="31"/>
          <w:szCs w:val="31"/>
        </w:rPr>
        <w:t>务</w:t>
      </w:r>
      <w:r>
        <w:rPr>
          <w:rFonts w:ascii="仿宋" w:hAnsi="仿宋" w:eastAsia="仿宋" w:cs="仿宋"/>
          <w:spacing w:val="6"/>
          <w:sz w:val="31"/>
          <w:szCs w:val="31"/>
        </w:rPr>
        <w:t>或</w:t>
      </w:r>
      <w:r>
        <w:rPr>
          <w:rFonts w:ascii="仿宋" w:hAnsi="仿宋" w:eastAsia="仿宋" w:cs="仿宋"/>
          <w:spacing w:val="4"/>
          <w:sz w:val="31"/>
          <w:szCs w:val="31"/>
        </w:rPr>
        <w:t>事业发展目标所发生的支出。</w:t>
      </w:r>
    </w:p>
    <w:p w14:paraId="3743030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十三、经营支出：</w:t>
      </w:r>
      <w:r>
        <w:rPr>
          <w:rFonts w:ascii="仿宋" w:hAnsi="仿宋" w:eastAsia="仿宋" w:cs="仿宋"/>
          <w:spacing w:val="2"/>
          <w:sz w:val="31"/>
          <w:szCs w:val="31"/>
        </w:rPr>
        <w:t>指事业单位</w:t>
      </w:r>
      <w:r>
        <w:rPr>
          <w:rFonts w:ascii="仿宋" w:hAnsi="仿宋" w:eastAsia="仿宋" w:cs="仿宋"/>
          <w:spacing w:val="1"/>
          <w:sz w:val="31"/>
          <w:szCs w:val="31"/>
        </w:rPr>
        <w:t>在专业业务活动及其辅助</w:t>
      </w:r>
      <w:r>
        <w:rPr>
          <w:rFonts w:ascii="仿宋" w:hAnsi="仿宋" w:eastAsia="仿宋" w:cs="仿宋"/>
          <w:sz w:val="31"/>
          <w:szCs w:val="31"/>
        </w:rPr>
        <w:t xml:space="preserve"> </w:t>
      </w:r>
      <w:r>
        <w:rPr>
          <w:rFonts w:ascii="仿宋" w:hAnsi="仿宋" w:eastAsia="仿宋" w:cs="仿宋"/>
          <w:spacing w:val="10"/>
          <w:sz w:val="31"/>
          <w:szCs w:val="31"/>
        </w:rPr>
        <w:t>活动之</w:t>
      </w:r>
      <w:r>
        <w:rPr>
          <w:rFonts w:ascii="仿宋" w:hAnsi="仿宋" w:eastAsia="仿宋" w:cs="仿宋"/>
          <w:spacing w:val="5"/>
          <w:sz w:val="31"/>
          <w:szCs w:val="31"/>
        </w:rPr>
        <w:t>外开展非独立核算经营活动发生的支出。</w:t>
      </w:r>
    </w:p>
    <w:p w14:paraId="54A7407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139"/>
        <w:textAlignment w:val="baseline"/>
        <w:rPr>
          <w:rFonts w:ascii="仿宋" w:hAnsi="仿宋" w:eastAsia="仿宋" w:cs="仿宋"/>
          <w:sz w:val="31"/>
          <w:szCs w:val="31"/>
        </w:rPr>
      </w:pPr>
      <w:r>
        <w:rPr>
          <w:rFonts w:ascii="仿宋" w:hAnsi="仿宋" w:eastAsia="仿宋" w:cs="仿宋"/>
          <w:spacing w:val="12"/>
          <w:sz w:val="31"/>
          <w:szCs w:val="31"/>
          <w14:textOutline w14:w="5791" w14:cap="flat" w14:cmpd="sng">
            <w14:solidFill>
              <w14:srgbClr w14:val="000000"/>
            </w14:solidFill>
            <w14:prstDash w14:val="solid"/>
            <w14:miter w14:val="0"/>
          </w14:textOutline>
        </w:rPr>
        <w:t>十</w:t>
      </w:r>
      <w:r>
        <w:rPr>
          <w:rFonts w:ascii="仿宋" w:hAnsi="仿宋" w:eastAsia="仿宋" w:cs="仿宋"/>
          <w:spacing w:val="8"/>
          <w:sz w:val="31"/>
          <w:szCs w:val="31"/>
          <w14:textOutline w14:w="5791" w14:cap="flat" w14:cmpd="sng">
            <w14:solidFill>
              <w14:srgbClr w14:val="000000"/>
            </w14:solidFill>
            <w14:prstDash w14:val="solid"/>
            <w14:miter w14:val="0"/>
          </w14:textOutline>
        </w:rPr>
        <w:t>四、上缴上级支出：</w:t>
      </w:r>
      <w:r>
        <w:rPr>
          <w:rFonts w:ascii="仿宋" w:hAnsi="仿宋" w:eastAsia="仿宋" w:cs="仿宋"/>
          <w:spacing w:val="8"/>
          <w:sz w:val="31"/>
          <w:szCs w:val="31"/>
        </w:rPr>
        <w:t>指事业单位按照有关规定上缴上</w:t>
      </w:r>
      <w:r>
        <w:rPr>
          <w:rFonts w:ascii="仿宋" w:hAnsi="仿宋" w:eastAsia="仿宋" w:cs="仿宋"/>
          <w:sz w:val="31"/>
          <w:szCs w:val="31"/>
        </w:rPr>
        <w:t xml:space="preserve"> </w:t>
      </w:r>
      <w:r>
        <w:rPr>
          <w:rFonts w:ascii="仿宋" w:hAnsi="仿宋" w:eastAsia="仿宋" w:cs="仿宋"/>
          <w:spacing w:val="-2"/>
          <w:sz w:val="31"/>
          <w:szCs w:val="31"/>
        </w:rPr>
        <w:t>级单位的支出。</w:t>
      </w:r>
    </w:p>
    <w:p w14:paraId="27A3714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7" w:firstLineChars="139"/>
        <w:textAlignment w:val="baseline"/>
        <w:rPr>
          <w:rFonts w:ascii="仿宋" w:hAnsi="仿宋" w:eastAsia="仿宋" w:cs="仿宋"/>
          <w:sz w:val="31"/>
          <w:szCs w:val="31"/>
        </w:rPr>
      </w:pPr>
      <w:r>
        <w:rPr>
          <w:rFonts w:ascii="仿宋" w:hAnsi="仿宋" w:eastAsia="仿宋" w:cs="仿宋"/>
          <w:spacing w:val="13"/>
          <w:sz w:val="31"/>
          <w:szCs w:val="31"/>
          <w14:textOutline w14:w="5791" w14:cap="flat" w14:cmpd="sng">
            <w14:solidFill>
              <w14:srgbClr w14:val="000000"/>
            </w14:solidFill>
            <w14:prstDash w14:val="solid"/>
            <w14:miter w14:val="0"/>
          </w14:textOutline>
        </w:rPr>
        <w:t>十</w:t>
      </w:r>
      <w:r>
        <w:rPr>
          <w:rFonts w:ascii="仿宋" w:hAnsi="仿宋" w:eastAsia="仿宋" w:cs="仿宋"/>
          <w:spacing w:val="8"/>
          <w:sz w:val="31"/>
          <w:szCs w:val="31"/>
          <w14:textOutline w14:w="5791" w14:cap="flat" w14:cmpd="sng">
            <w14:solidFill>
              <w14:srgbClr w14:val="000000"/>
            </w14:solidFill>
            <w14:prstDash w14:val="solid"/>
            <w14:miter w14:val="0"/>
          </w14:textOutline>
        </w:rPr>
        <w:t>五、对附属单位补助支出：</w:t>
      </w:r>
      <w:r>
        <w:rPr>
          <w:rFonts w:ascii="仿宋" w:hAnsi="仿宋" w:eastAsia="仿宋" w:cs="仿宋"/>
          <w:spacing w:val="8"/>
          <w:sz w:val="31"/>
          <w:szCs w:val="31"/>
        </w:rPr>
        <w:t>指事业单位用财政补助收</w:t>
      </w:r>
      <w:r>
        <w:rPr>
          <w:rFonts w:ascii="仿宋" w:hAnsi="仿宋" w:eastAsia="仿宋" w:cs="仿宋"/>
          <w:sz w:val="31"/>
          <w:szCs w:val="31"/>
        </w:rPr>
        <w:t xml:space="preserve"> </w:t>
      </w:r>
      <w:r>
        <w:rPr>
          <w:rFonts w:ascii="仿宋" w:hAnsi="仿宋" w:eastAsia="仿宋" w:cs="仿宋"/>
          <w:spacing w:val="16"/>
          <w:sz w:val="31"/>
          <w:szCs w:val="31"/>
        </w:rPr>
        <w:t>入</w:t>
      </w:r>
      <w:r>
        <w:rPr>
          <w:rFonts w:ascii="仿宋" w:hAnsi="仿宋" w:eastAsia="仿宋" w:cs="仿宋"/>
          <w:spacing w:val="9"/>
          <w:sz w:val="31"/>
          <w:szCs w:val="31"/>
        </w:rPr>
        <w:t>之</w:t>
      </w:r>
      <w:r>
        <w:rPr>
          <w:rFonts w:ascii="仿宋" w:hAnsi="仿宋" w:eastAsia="仿宋" w:cs="仿宋"/>
          <w:spacing w:val="8"/>
          <w:sz w:val="31"/>
          <w:szCs w:val="31"/>
        </w:rPr>
        <w:t>外的收入对附属单位补助发生的支出。</w:t>
      </w:r>
    </w:p>
    <w:p w14:paraId="3E1CE61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139"/>
        <w:textAlignment w:val="baseline"/>
        <w:rPr>
          <w:rFonts w:ascii="仿宋" w:hAnsi="仿宋" w:eastAsia="仿宋" w:cs="仿宋"/>
          <w:sz w:val="31"/>
          <w:szCs w:val="31"/>
        </w:rPr>
      </w:pPr>
      <w:r>
        <w:rPr>
          <w:rFonts w:ascii="仿宋" w:hAnsi="仿宋" w:eastAsia="仿宋" w:cs="仿宋"/>
          <w:spacing w:val="12"/>
          <w:sz w:val="31"/>
          <w:szCs w:val="31"/>
          <w14:textOutline w14:w="5791" w14:cap="flat" w14:cmpd="sng">
            <w14:solidFill>
              <w14:srgbClr w14:val="000000"/>
            </w14:solidFill>
            <w14:prstDash w14:val="solid"/>
            <w14:miter w14:val="0"/>
          </w14:textOutline>
        </w:rPr>
        <w:t>十</w:t>
      </w:r>
      <w:r>
        <w:rPr>
          <w:rFonts w:ascii="仿宋" w:hAnsi="仿宋" w:eastAsia="仿宋" w:cs="仿宋"/>
          <w:spacing w:val="8"/>
          <w:sz w:val="31"/>
          <w:szCs w:val="31"/>
          <w14:textOutline w14:w="5791" w14:cap="flat" w14:cmpd="sng">
            <w14:solidFill>
              <w14:srgbClr w14:val="000000"/>
            </w14:solidFill>
            <w14:prstDash w14:val="solid"/>
            <w14:miter w14:val="0"/>
          </w14:textOutline>
        </w:rPr>
        <w:t>六、“三公”经费：</w:t>
      </w:r>
      <w:r>
        <w:rPr>
          <w:rFonts w:ascii="仿宋" w:hAnsi="仿宋" w:eastAsia="仿宋" w:cs="仿宋"/>
          <w:spacing w:val="8"/>
          <w:sz w:val="31"/>
          <w:szCs w:val="31"/>
        </w:rPr>
        <w:t>纳入省级财政预决算管理的“三</w:t>
      </w:r>
      <w:r>
        <w:rPr>
          <w:rFonts w:ascii="仿宋" w:hAnsi="仿宋" w:eastAsia="仿宋" w:cs="仿宋"/>
          <w:sz w:val="31"/>
          <w:szCs w:val="31"/>
        </w:rPr>
        <w:t xml:space="preserve"> </w:t>
      </w:r>
      <w:r>
        <w:rPr>
          <w:rFonts w:ascii="仿宋" w:hAnsi="仿宋" w:eastAsia="仿宋" w:cs="仿宋"/>
          <w:spacing w:val="21"/>
          <w:sz w:val="31"/>
          <w:szCs w:val="31"/>
        </w:rPr>
        <w:t>公</w:t>
      </w:r>
      <w:r>
        <w:rPr>
          <w:rFonts w:ascii="仿宋" w:hAnsi="仿宋" w:eastAsia="仿宋" w:cs="仿宋"/>
          <w:spacing w:val="15"/>
          <w:sz w:val="31"/>
          <w:szCs w:val="31"/>
        </w:rPr>
        <w:t>”经费，是指省级部门用财政拨款安排的因公出国</w:t>
      </w:r>
      <w:r>
        <w:rPr>
          <w:rFonts w:hint="eastAsia" w:ascii="仿宋" w:hAnsi="仿宋" w:eastAsia="仿宋" w:cs="仿宋"/>
          <w:spacing w:val="15"/>
          <w:sz w:val="31"/>
          <w:szCs w:val="31"/>
          <w:lang w:eastAsia="zh-CN"/>
        </w:rPr>
        <w:t>（</w:t>
      </w:r>
      <w:r>
        <w:rPr>
          <w:rFonts w:ascii="仿宋" w:hAnsi="仿宋" w:eastAsia="仿宋" w:cs="仿宋"/>
          <w:spacing w:val="15"/>
          <w:sz w:val="31"/>
          <w:szCs w:val="31"/>
        </w:rPr>
        <w:t>境</w:t>
      </w:r>
      <w:r>
        <w:rPr>
          <w:rFonts w:hint="eastAsia" w:ascii="仿宋" w:hAnsi="仿宋" w:eastAsia="仿宋" w:cs="仿宋"/>
          <w:spacing w:val="15"/>
          <w:sz w:val="31"/>
          <w:szCs w:val="31"/>
          <w:lang w:eastAsia="zh-CN"/>
        </w:rPr>
        <w:t>）</w:t>
      </w:r>
      <w:r>
        <w:rPr>
          <w:rFonts w:ascii="仿宋" w:hAnsi="仿宋" w:eastAsia="仿宋" w:cs="仿宋"/>
          <w:sz w:val="31"/>
          <w:szCs w:val="31"/>
        </w:rPr>
        <w:t xml:space="preserve">  </w:t>
      </w:r>
      <w:r>
        <w:rPr>
          <w:rFonts w:ascii="仿宋" w:hAnsi="仿宋" w:eastAsia="仿宋" w:cs="仿宋"/>
          <w:spacing w:val="9"/>
          <w:sz w:val="31"/>
          <w:szCs w:val="31"/>
        </w:rPr>
        <w:t>费、公务用车购置及运行维护费和公务接待费。是党政机</w:t>
      </w:r>
      <w:r>
        <w:rPr>
          <w:rFonts w:ascii="仿宋" w:hAnsi="仿宋" w:eastAsia="仿宋" w:cs="仿宋"/>
          <w:spacing w:val="7"/>
          <w:sz w:val="31"/>
          <w:szCs w:val="31"/>
        </w:rPr>
        <w:t>关</w:t>
      </w:r>
      <w:r>
        <w:rPr>
          <w:rFonts w:ascii="仿宋" w:hAnsi="仿宋" w:eastAsia="仿宋" w:cs="仿宋"/>
          <w:sz w:val="31"/>
          <w:szCs w:val="31"/>
        </w:rPr>
        <w:t xml:space="preserve"> </w:t>
      </w:r>
      <w:r>
        <w:rPr>
          <w:rFonts w:ascii="仿宋" w:hAnsi="仿宋" w:eastAsia="仿宋" w:cs="仿宋"/>
          <w:spacing w:val="3"/>
          <w:sz w:val="31"/>
          <w:szCs w:val="31"/>
        </w:rPr>
        <w:t>维持运转或完成特定工作任务所开支的相关支出，是政</w:t>
      </w:r>
      <w:r>
        <w:rPr>
          <w:rFonts w:ascii="仿宋" w:hAnsi="仿宋" w:eastAsia="仿宋" w:cs="仿宋"/>
          <w:spacing w:val="1"/>
          <w:sz w:val="31"/>
          <w:szCs w:val="31"/>
        </w:rPr>
        <w:t>府</w:t>
      </w:r>
      <w:r>
        <w:rPr>
          <w:rFonts w:ascii="仿宋" w:hAnsi="仿宋" w:eastAsia="仿宋" w:cs="仿宋"/>
          <w:sz w:val="31"/>
          <w:szCs w:val="31"/>
        </w:rPr>
        <w:t xml:space="preserve">行 </w:t>
      </w:r>
      <w:r>
        <w:rPr>
          <w:rFonts w:ascii="仿宋" w:hAnsi="仿宋" w:eastAsia="仿宋" w:cs="仿宋"/>
          <w:spacing w:val="4"/>
          <w:sz w:val="31"/>
          <w:szCs w:val="31"/>
        </w:rPr>
        <w:t>政开支的一部分。其中</w:t>
      </w:r>
      <w:r>
        <w:rPr>
          <w:rFonts w:ascii="仿宋" w:hAnsi="仿宋" w:eastAsia="仿宋" w:cs="仿宋"/>
          <w:spacing w:val="2"/>
          <w:sz w:val="31"/>
          <w:szCs w:val="31"/>
        </w:rPr>
        <w:t>，因公出国</w:t>
      </w:r>
      <w:r>
        <w:rPr>
          <w:rFonts w:hint="eastAsia" w:ascii="仿宋" w:hAnsi="仿宋" w:eastAsia="仿宋" w:cs="仿宋"/>
          <w:spacing w:val="2"/>
          <w:sz w:val="31"/>
          <w:szCs w:val="31"/>
          <w:lang w:eastAsia="zh-CN"/>
        </w:rPr>
        <w:t>（</w:t>
      </w:r>
      <w:r>
        <w:rPr>
          <w:rFonts w:ascii="仿宋" w:hAnsi="仿宋" w:eastAsia="仿宋" w:cs="仿宋"/>
          <w:spacing w:val="2"/>
          <w:sz w:val="31"/>
          <w:szCs w:val="31"/>
        </w:rPr>
        <w:t>境</w:t>
      </w:r>
      <w:r>
        <w:rPr>
          <w:rFonts w:hint="eastAsia" w:ascii="仿宋" w:hAnsi="仿宋" w:eastAsia="仿宋" w:cs="仿宋"/>
          <w:spacing w:val="2"/>
          <w:sz w:val="31"/>
          <w:szCs w:val="31"/>
          <w:lang w:eastAsia="zh-CN"/>
        </w:rPr>
        <w:t>）</w:t>
      </w:r>
      <w:r>
        <w:rPr>
          <w:rFonts w:ascii="仿宋" w:hAnsi="仿宋" w:eastAsia="仿宋" w:cs="仿宋"/>
          <w:spacing w:val="2"/>
          <w:sz w:val="31"/>
          <w:szCs w:val="31"/>
        </w:rPr>
        <w:t>费反映公务出国</w:t>
      </w:r>
      <w:r>
        <w:rPr>
          <w:rFonts w:hint="eastAsia" w:ascii="仿宋" w:hAnsi="仿宋" w:eastAsia="仿宋" w:cs="仿宋"/>
          <w:spacing w:val="2"/>
          <w:sz w:val="31"/>
          <w:szCs w:val="31"/>
          <w:lang w:eastAsia="zh-CN"/>
        </w:rPr>
        <w:t>（</w:t>
      </w:r>
      <w:r>
        <w:rPr>
          <w:rFonts w:ascii="仿宋" w:hAnsi="仿宋" w:eastAsia="仿宋" w:cs="仿宋"/>
          <w:spacing w:val="2"/>
          <w:sz w:val="31"/>
          <w:szCs w:val="31"/>
        </w:rPr>
        <w:t>境</w:t>
      </w:r>
      <w:r>
        <w:rPr>
          <w:rFonts w:hint="eastAsia" w:ascii="仿宋" w:hAnsi="仿宋" w:eastAsia="仿宋" w:cs="仿宋"/>
          <w:spacing w:val="2"/>
          <w:sz w:val="31"/>
          <w:szCs w:val="31"/>
          <w:lang w:eastAsia="zh-CN"/>
        </w:rPr>
        <w:t>）</w:t>
      </w:r>
      <w:r>
        <w:rPr>
          <w:rFonts w:ascii="仿宋" w:hAnsi="仿宋" w:eastAsia="仿宋" w:cs="仿宋"/>
          <w:spacing w:val="-1"/>
          <w:sz w:val="31"/>
          <w:szCs w:val="31"/>
        </w:rPr>
        <w:t>的国际旅费、国外城市</w:t>
      </w:r>
      <w:r>
        <w:rPr>
          <w:rFonts w:ascii="仿宋" w:hAnsi="仿宋" w:eastAsia="仿宋" w:cs="仿宋"/>
          <w:sz w:val="31"/>
          <w:szCs w:val="31"/>
        </w:rPr>
        <w:t xml:space="preserve">间交通费、住宿费、伙食费、培训费、 </w:t>
      </w:r>
      <w:r>
        <w:rPr>
          <w:rFonts w:ascii="仿宋" w:hAnsi="仿宋" w:eastAsia="仿宋" w:cs="仿宋"/>
          <w:spacing w:val="9"/>
          <w:sz w:val="31"/>
          <w:szCs w:val="31"/>
        </w:rPr>
        <w:t>公杂费等支出；公务用车购置及运行费反映单位公务用车</w:t>
      </w:r>
      <w:r>
        <w:rPr>
          <w:rFonts w:ascii="仿宋" w:hAnsi="仿宋" w:eastAsia="仿宋" w:cs="仿宋"/>
          <w:spacing w:val="8"/>
          <w:sz w:val="31"/>
          <w:szCs w:val="31"/>
        </w:rPr>
        <w:t>车</w:t>
      </w:r>
      <w:r>
        <w:rPr>
          <w:rFonts w:ascii="仿宋" w:hAnsi="仿宋" w:eastAsia="仿宋" w:cs="仿宋"/>
          <w:sz w:val="31"/>
          <w:szCs w:val="31"/>
        </w:rPr>
        <w:t xml:space="preserve"> </w:t>
      </w:r>
      <w:r>
        <w:rPr>
          <w:rFonts w:ascii="仿宋" w:hAnsi="仿宋" w:eastAsia="仿宋" w:cs="仿宋"/>
          <w:spacing w:val="24"/>
          <w:sz w:val="31"/>
          <w:szCs w:val="31"/>
        </w:rPr>
        <w:t>辆</w:t>
      </w:r>
      <w:r>
        <w:rPr>
          <w:rFonts w:ascii="仿宋" w:hAnsi="仿宋" w:eastAsia="仿宋" w:cs="仿宋"/>
          <w:spacing w:val="14"/>
          <w:sz w:val="31"/>
          <w:szCs w:val="31"/>
        </w:rPr>
        <w:t>购置支出</w:t>
      </w:r>
      <w:r>
        <w:rPr>
          <w:rFonts w:hint="eastAsia" w:ascii="仿宋" w:hAnsi="仿宋" w:eastAsia="仿宋" w:cs="仿宋"/>
          <w:spacing w:val="14"/>
          <w:sz w:val="31"/>
          <w:szCs w:val="31"/>
          <w:lang w:eastAsia="zh-CN"/>
        </w:rPr>
        <w:t>（</w:t>
      </w:r>
      <w:r>
        <w:rPr>
          <w:rFonts w:ascii="仿宋" w:hAnsi="仿宋" w:eastAsia="仿宋" w:cs="仿宋"/>
          <w:spacing w:val="14"/>
          <w:sz w:val="31"/>
          <w:szCs w:val="31"/>
        </w:rPr>
        <w:t>含车辆购置税</w:t>
      </w:r>
      <w:r>
        <w:rPr>
          <w:rFonts w:hint="eastAsia" w:ascii="仿宋" w:hAnsi="仿宋" w:eastAsia="仿宋" w:cs="仿宋"/>
          <w:spacing w:val="14"/>
          <w:sz w:val="31"/>
          <w:szCs w:val="31"/>
          <w:lang w:eastAsia="zh-CN"/>
        </w:rPr>
        <w:t>）</w:t>
      </w:r>
      <w:r>
        <w:rPr>
          <w:rFonts w:ascii="仿宋" w:hAnsi="仿宋" w:eastAsia="仿宋" w:cs="仿宋"/>
          <w:spacing w:val="14"/>
          <w:sz w:val="31"/>
          <w:szCs w:val="31"/>
        </w:rPr>
        <w:t xml:space="preserve"> 及燃料费、维修费、过桥过路</w:t>
      </w:r>
      <w:r>
        <w:rPr>
          <w:rFonts w:ascii="仿宋" w:hAnsi="仿宋" w:eastAsia="仿宋" w:cs="仿宋"/>
          <w:sz w:val="31"/>
          <w:szCs w:val="31"/>
        </w:rPr>
        <w:t xml:space="preserve"> </w:t>
      </w:r>
      <w:r>
        <w:rPr>
          <w:rFonts w:ascii="仿宋" w:hAnsi="仿宋" w:eastAsia="仿宋" w:cs="仿宋"/>
          <w:spacing w:val="3"/>
          <w:sz w:val="31"/>
          <w:szCs w:val="31"/>
        </w:rPr>
        <w:t>费、保险费、安全奖励费等支出；公务接待费反映单位按</w:t>
      </w:r>
      <w:r>
        <w:rPr>
          <w:rFonts w:ascii="仿宋" w:hAnsi="仿宋" w:eastAsia="仿宋" w:cs="仿宋"/>
          <w:sz w:val="31"/>
          <w:szCs w:val="31"/>
        </w:rPr>
        <w:t xml:space="preserve">规 </w:t>
      </w:r>
      <w:r>
        <w:rPr>
          <w:rFonts w:ascii="仿宋" w:hAnsi="仿宋" w:eastAsia="仿宋" w:cs="仿宋"/>
          <w:spacing w:val="33"/>
          <w:sz w:val="31"/>
          <w:szCs w:val="31"/>
        </w:rPr>
        <w:t>定</w:t>
      </w:r>
      <w:r>
        <w:rPr>
          <w:rFonts w:ascii="仿宋" w:hAnsi="仿宋" w:eastAsia="仿宋" w:cs="仿宋"/>
          <w:spacing w:val="22"/>
          <w:sz w:val="31"/>
          <w:szCs w:val="31"/>
        </w:rPr>
        <w:t>开支的各类公务接待</w:t>
      </w:r>
      <w:r>
        <w:rPr>
          <w:rFonts w:hint="eastAsia" w:ascii="仿宋" w:hAnsi="仿宋" w:eastAsia="仿宋" w:cs="仿宋"/>
          <w:spacing w:val="22"/>
          <w:sz w:val="31"/>
          <w:szCs w:val="31"/>
          <w:lang w:eastAsia="zh-CN"/>
        </w:rPr>
        <w:t>（</w:t>
      </w:r>
      <w:r>
        <w:rPr>
          <w:rFonts w:ascii="仿宋" w:hAnsi="仿宋" w:eastAsia="仿宋" w:cs="仿宋"/>
          <w:spacing w:val="22"/>
          <w:sz w:val="31"/>
          <w:szCs w:val="31"/>
        </w:rPr>
        <w:t>含外宾接待</w:t>
      </w:r>
      <w:r>
        <w:rPr>
          <w:rFonts w:hint="eastAsia" w:ascii="仿宋" w:hAnsi="仿宋" w:eastAsia="仿宋" w:cs="仿宋"/>
          <w:spacing w:val="22"/>
          <w:sz w:val="31"/>
          <w:szCs w:val="31"/>
          <w:lang w:eastAsia="zh-CN"/>
        </w:rPr>
        <w:t>）</w:t>
      </w:r>
      <w:r>
        <w:rPr>
          <w:rFonts w:ascii="仿宋" w:hAnsi="仿宋" w:eastAsia="仿宋" w:cs="仿宋"/>
          <w:spacing w:val="22"/>
          <w:sz w:val="31"/>
          <w:szCs w:val="31"/>
        </w:rPr>
        <w:t>支出。</w:t>
      </w:r>
    </w:p>
    <w:p w14:paraId="72D5A8F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139"/>
        <w:textAlignment w:val="baseline"/>
        <w:rPr>
          <w:rFonts w:ascii="仿宋" w:hAnsi="仿宋" w:eastAsia="仿宋" w:cs="仿宋"/>
          <w:sz w:val="31"/>
          <w:szCs w:val="31"/>
        </w:rPr>
      </w:pPr>
      <w:r>
        <w:rPr>
          <w:rFonts w:ascii="仿宋" w:hAnsi="仿宋" w:eastAsia="仿宋" w:cs="仿宋"/>
          <w:spacing w:val="28"/>
          <w:sz w:val="31"/>
          <w:szCs w:val="31"/>
          <w14:textOutline w14:w="5791" w14:cap="flat" w14:cmpd="sng">
            <w14:solidFill>
              <w14:srgbClr w14:val="000000"/>
            </w14:solidFill>
            <w14:prstDash w14:val="solid"/>
            <w14:miter w14:val="0"/>
          </w14:textOutline>
        </w:rPr>
        <w:t>十</w:t>
      </w:r>
      <w:r>
        <w:rPr>
          <w:rFonts w:ascii="仿宋" w:hAnsi="仿宋" w:eastAsia="仿宋" w:cs="仿宋"/>
          <w:spacing w:val="16"/>
          <w:sz w:val="31"/>
          <w:szCs w:val="31"/>
          <w14:textOutline w14:w="5791" w14:cap="flat" w14:cmpd="sng">
            <w14:solidFill>
              <w14:srgbClr w14:val="000000"/>
            </w14:solidFill>
            <w14:prstDash w14:val="solid"/>
            <w14:miter w14:val="0"/>
          </w14:textOutline>
        </w:rPr>
        <w:t>七</w:t>
      </w:r>
      <w:r>
        <w:rPr>
          <w:rFonts w:ascii="仿宋" w:hAnsi="仿宋" w:eastAsia="仿宋" w:cs="仿宋"/>
          <w:spacing w:val="14"/>
          <w:sz w:val="31"/>
          <w:szCs w:val="31"/>
          <w14:textOutline w14:w="5791" w14:cap="flat" w14:cmpd="sng">
            <w14:solidFill>
              <w14:srgbClr w14:val="000000"/>
            </w14:solidFill>
            <w14:prstDash w14:val="solid"/>
            <w14:miter w14:val="0"/>
          </w14:textOutline>
        </w:rPr>
        <w:t>、机关运行经费：</w:t>
      </w:r>
      <w:r>
        <w:rPr>
          <w:rFonts w:ascii="仿宋" w:hAnsi="仿宋" w:eastAsia="仿宋" w:cs="仿宋"/>
          <w:spacing w:val="14"/>
          <w:sz w:val="31"/>
          <w:szCs w:val="31"/>
        </w:rPr>
        <w:t>指为保障行政单位</w:t>
      </w:r>
      <w:r>
        <w:rPr>
          <w:rFonts w:hint="eastAsia" w:ascii="仿宋" w:hAnsi="仿宋" w:eastAsia="仿宋" w:cs="仿宋"/>
          <w:spacing w:val="14"/>
          <w:sz w:val="31"/>
          <w:szCs w:val="31"/>
          <w:lang w:eastAsia="zh-CN"/>
        </w:rPr>
        <w:t>（</w:t>
      </w:r>
      <w:r>
        <w:rPr>
          <w:rFonts w:ascii="仿宋" w:hAnsi="仿宋" w:eastAsia="仿宋" w:cs="仿宋"/>
          <w:spacing w:val="14"/>
          <w:sz w:val="31"/>
          <w:szCs w:val="31"/>
        </w:rPr>
        <w:t>包括参照公</w:t>
      </w:r>
      <w:r>
        <w:rPr>
          <w:rFonts w:ascii="仿宋" w:hAnsi="仿宋" w:eastAsia="仿宋" w:cs="仿宋"/>
          <w:sz w:val="31"/>
          <w:szCs w:val="31"/>
        </w:rPr>
        <w:t xml:space="preserve"> </w:t>
      </w:r>
      <w:r>
        <w:rPr>
          <w:rFonts w:ascii="仿宋" w:hAnsi="仿宋" w:eastAsia="仿宋" w:cs="仿宋"/>
          <w:spacing w:val="16"/>
          <w:sz w:val="31"/>
          <w:szCs w:val="31"/>
        </w:rPr>
        <w:t>务员</w:t>
      </w:r>
      <w:r>
        <w:rPr>
          <w:rFonts w:ascii="仿宋" w:hAnsi="仿宋" w:eastAsia="仿宋" w:cs="仿宋"/>
          <w:spacing w:val="8"/>
          <w:sz w:val="31"/>
          <w:szCs w:val="31"/>
        </w:rPr>
        <w:t>法管理的事业单位</w:t>
      </w:r>
      <w:r>
        <w:rPr>
          <w:rFonts w:hint="eastAsia" w:ascii="仿宋" w:hAnsi="仿宋" w:eastAsia="仿宋" w:cs="仿宋"/>
          <w:spacing w:val="8"/>
          <w:sz w:val="31"/>
          <w:szCs w:val="31"/>
          <w:lang w:eastAsia="zh-CN"/>
        </w:rPr>
        <w:t>）</w:t>
      </w:r>
      <w:r>
        <w:rPr>
          <w:rFonts w:ascii="仿宋" w:hAnsi="仿宋" w:eastAsia="仿宋" w:cs="仿宋"/>
          <w:spacing w:val="8"/>
          <w:sz w:val="31"/>
          <w:szCs w:val="31"/>
        </w:rPr>
        <w:t xml:space="preserve"> 运行用于购买货物和服务的各项资</w:t>
      </w:r>
      <w:r>
        <w:rPr>
          <w:rFonts w:ascii="仿宋" w:hAnsi="仿宋" w:eastAsia="仿宋" w:cs="仿宋"/>
          <w:sz w:val="31"/>
          <w:szCs w:val="31"/>
        </w:rPr>
        <w:t xml:space="preserve"> </w:t>
      </w:r>
      <w:r>
        <w:rPr>
          <w:rFonts w:ascii="仿宋" w:hAnsi="仿宋" w:eastAsia="仿宋" w:cs="仿宋"/>
          <w:spacing w:val="3"/>
          <w:sz w:val="31"/>
          <w:szCs w:val="31"/>
        </w:rPr>
        <w:t>金，包括办公费、印刷费、邮电费、差旅费、会议费、</w:t>
      </w:r>
      <w:r>
        <w:rPr>
          <w:rFonts w:ascii="仿宋" w:hAnsi="仿宋" w:eastAsia="仿宋" w:cs="仿宋"/>
          <w:sz w:val="31"/>
          <w:szCs w:val="31"/>
        </w:rPr>
        <w:t>福利</w:t>
      </w:r>
      <w:r>
        <w:rPr>
          <w:rFonts w:ascii="仿宋" w:hAnsi="仿宋" w:eastAsia="仿宋" w:cs="仿宋"/>
          <w:spacing w:val="9"/>
          <w:sz w:val="31"/>
          <w:szCs w:val="31"/>
        </w:rPr>
        <w:t>费、日常维修费、专用材料及一般设备购置费、办公用房</w:t>
      </w:r>
      <w:r>
        <w:rPr>
          <w:rFonts w:ascii="仿宋" w:hAnsi="仿宋" w:eastAsia="仿宋" w:cs="仿宋"/>
          <w:spacing w:val="5"/>
          <w:sz w:val="31"/>
          <w:szCs w:val="31"/>
        </w:rPr>
        <w:t>水</w:t>
      </w:r>
      <w:r>
        <w:rPr>
          <w:rFonts w:ascii="仿宋" w:hAnsi="仿宋" w:eastAsia="仿宋" w:cs="仿宋"/>
          <w:spacing w:val="9"/>
          <w:sz w:val="31"/>
          <w:szCs w:val="31"/>
        </w:rPr>
        <w:t>电费、办公用房取暖费、办公用房物业管理费、公务用车</w:t>
      </w:r>
      <w:r>
        <w:rPr>
          <w:rFonts w:ascii="仿宋" w:hAnsi="仿宋" w:eastAsia="仿宋" w:cs="仿宋"/>
          <w:spacing w:val="5"/>
          <w:sz w:val="31"/>
          <w:szCs w:val="31"/>
        </w:rPr>
        <w:t>运</w:t>
      </w:r>
      <w:r>
        <w:rPr>
          <w:rFonts w:ascii="仿宋" w:hAnsi="仿宋" w:eastAsia="仿宋" w:cs="仿宋"/>
          <w:spacing w:val="6"/>
          <w:sz w:val="31"/>
          <w:szCs w:val="31"/>
        </w:rPr>
        <w:t>行维</w:t>
      </w:r>
      <w:r>
        <w:rPr>
          <w:rFonts w:ascii="仿宋" w:hAnsi="仿宋" w:eastAsia="仿宋" w:cs="仿宋"/>
          <w:spacing w:val="3"/>
          <w:sz w:val="31"/>
          <w:szCs w:val="31"/>
        </w:rPr>
        <w:t>护费以及其他费用。</w:t>
      </w:r>
    </w:p>
    <w:p w14:paraId="237E36D9">
      <w:pPr>
        <w:spacing w:before="248" w:line="378" w:lineRule="auto"/>
        <w:ind w:left="26" w:right="98" w:firstLine="648"/>
        <w:rPr>
          <w:rFonts w:ascii="仿宋" w:hAnsi="仿宋" w:eastAsia="仿宋" w:cs="仿宋"/>
          <w:sz w:val="31"/>
          <w:szCs w:val="31"/>
        </w:rPr>
      </w:pPr>
    </w:p>
    <w:sectPr>
      <w:footerReference r:id="rId17" w:type="default"/>
      <w:pgSz w:w="11907" w:h="16839"/>
      <w:pgMar w:top="1431" w:right="1705" w:bottom="1153" w:left="1785" w:header="0" w:footer="965"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BE7C6">
    <w:pPr>
      <w:spacing w:line="187" w:lineRule="auto"/>
      <w:ind w:left="4138"/>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BE406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BE406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D0C86">
    <w:pPr>
      <w:spacing w:line="187" w:lineRule="auto"/>
      <w:ind w:left="4090"/>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ED096A">
                          <w:pPr>
                            <w:pStyle w:val="2"/>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13ED096A">
                    <w:pPr>
                      <w:pStyle w:val="2"/>
                    </w:pPr>
                    <w:r>
                      <w:fldChar w:fldCharType="begin"/>
                    </w:r>
                    <w:r>
                      <w:instrText xml:space="preserve"> PAGE  \* MERGEFORMAT </w:instrText>
                    </w:r>
                    <w:r>
                      <w:fldChar w:fldCharType="separate"/>
                    </w:r>
                    <w:r>
                      <w:t>12</w:t>
                    </w:r>
                    <w:r>
                      <w:fldChar w:fldCharType="end"/>
                    </w:r>
                  </w:p>
                </w:txbxContent>
              </v:textbox>
            </v:shape>
          </w:pict>
        </mc:Fallback>
      </mc:AlternateContent>
    </w:r>
    <w:r>
      <w:rPr>
        <w:rFonts w:ascii="Times New Roman" w:hAnsi="Times New Roman" w:eastAsia="Times New Roman" w:cs="Times New Roman"/>
        <w:spacing w:val="-9"/>
        <w:sz w:val="21"/>
        <w:szCs w:val="21"/>
      </w:rPr>
      <w:t>1</w:t>
    </w:r>
    <w:r>
      <w:rPr>
        <w:rFonts w:ascii="Times New Roman" w:hAnsi="Times New Roman" w:eastAsia="Times New Roman" w:cs="Times New Roman"/>
        <w:spacing w:val="-7"/>
        <w:sz w:val="21"/>
        <w:szCs w:val="21"/>
      </w:rPr>
      <w:t>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257A4">
    <w:pPr>
      <w:spacing w:line="187" w:lineRule="auto"/>
      <w:ind w:left="4088"/>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FDE7A8">
                          <w:pPr>
                            <w:pStyle w:val="2"/>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5FDE7A8">
                    <w:pPr>
                      <w:pStyle w:val="2"/>
                    </w:pPr>
                    <w:r>
                      <w:fldChar w:fldCharType="begin"/>
                    </w:r>
                    <w:r>
                      <w:instrText xml:space="preserve"> PAGE  \* MERGEFORMAT </w:instrText>
                    </w:r>
                    <w:r>
                      <w:fldChar w:fldCharType="separate"/>
                    </w:r>
                    <w:r>
                      <w:t>13</w:t>
                    </w:r>
                    <w:r>
                      <w:fldChar w:fldCharType="end"/>
                    </w:r>
                  </w:p>
                </w:txbxContent>
              </v:textbox>
            </v:shape>
          </w:pict>
        </mc:Fallback>
      </mc:AlternateContent>
    </w:r>
    <w:r>
      <w:rPr>
        <w:rFonts w:ascii="Times New Roman" w:hAnsi="Times New Roman" w:eastAsia="Times New Roman" w:cs="Times New Roman"/>
        <w:spacing w:val="-6"/>
        <w:sz w:val="21"/>
        <w:szCs w:val="21"/>
      </w:rPr>
      <w:t>12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EFA4D">
    <w:pPr>
      <w:spacing w:line="187" w:lineRule="auto"/>
      <w:ind w:left="4088"/>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5BC93F">
                          <w:pPr>
                            <w:pStyle w:val="2"/>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C5BC93F">
                    <w:pPr>
                      <w:pStyle w:val="2"/>
                    </w:pPr>
                    <w:r>
                      <w:fldChar w:fldCharType="begin"/>
                    </w:r>
                    <w:r>
                      <w:instrText xml:space="preserve"> PAGE  \* MERGEFORMAT </w:instrText>
                    </w:r>
                    <w:r>
                      <w:fldChar w:fldCharType="separate"/>
                    </w:r>
                    <w:r>
                      <w:t>14</w:t>
                    </w:r>
                    <w:r>
                      <w:fldChar w:fldCharType="end"/>
                    </w:r>
                  </w:p>
                </w:txbxContent>
              </v:textbox>
            </v:shape>
          </w:pict>
        </mc:Fallback>
      </mc:AlternateContent>
    </w:r>
    <w:r>
      <w:rPr>
        <w:rFonts w:ascii="Times New Roman" w:hAnsi="Times New Roman" w:eastAsia="Times New Roman" w:cs="Times New Roman"/>
        <w:spacing w:val="-6"/>
        <w:sz w:val="21"/>
        <w:szCs w:val="21"/>
      </w:rPr>
      <w:t>14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646B3">
    <w:pPr>
      <w:spacing w:line="186" w:lineRule="auto"/>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731035">
                          <w:pPr>
                            <w:pStyle w:val="2"/>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2A731035">
                    <w:pPr>
                      <w:pStyle w:val="2"/>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32331">
    <w:pPr>
      <w:spacing w:line="187" w:lineRule="auto"/>
      <w:ind w:left="4118"/>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D5BE9A">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AD5BE9A">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111FB">
    <w:pPr>
      <w:spacing w:line="186" w:lineRule="auto"/>
      <w:ind w:left="4122"/>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5F564B">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25F564B">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B897C">
    <w:pPr>
      <w:spacing w:line="183" w:lineRule="auto"/>
      <w:ind w:left="4124"/>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697C2E">
                          <w:pPr>
                            <w:pStyle w:val="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0697C2E">
                    <w:pPr>
                      <w:pStyle w:val="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9C824">
    <w:pPr>
      <w:spacing w:line="186" w:lineRule="auto"/>
      <w:ind w:left="4123"/>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196058">
                          <w:pPr>
                            <w:pStyle w:val="2"/>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E196058">
                    <w:pPr>
                      <w:pStyle w:val="2"/>
                    </w:pPr>
                    <w:r>
                      <w:fldChar w:fldCharType="begin"/>
                    </w:r>
                    <w:r>
                      <w:instrText xml:space="preserve"> PAGE  \* MERGEFORMAT </w:instrText>
                    </w:r>
                    <w:r>
                      <w:fldChar w:fldCharType="separate"/>
                    </w:r>
                    <w:r>
                      <w:t>7</w:t>
                    </w:r>
                    <w:r>
                      <w:fldChar w:fldCharType="end"/>
                    </w:r>
                  </w:p>
                </w:txbxContent>
              </v:textbox>
            </v:shape>
          </w:pict>
        </mc:Fallback>
      </mc:AlternateContent>
    </w:r>
    <w:r>
      <w:rPr>
        <w:rFonts w:ascii="Times New Roman" w:hAnsi="Times New Roman" w:eastAsia="Times New Roman" w:cs="Times New Roman"/>
        <w:sz w:val="21"/>
        <w:szCs w:val="21"/>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5D0F3">
    <w:pPr>
      <w:spacing w:line="183" w:lineRule="auto"/>
      <w:ind w:left="4122"/>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2F2D73">
                          <w:pPr>
                            <w:pStyle w:val="2"/>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A2F2D73">
                    <w:pPr>
                      <w:pStyle w:val="2"/>
                    </w:pPr>
                    <w:r>
                      <w:fldChar w:fldCharType="begin"/>
                    </w:r>
                    <w:r>
                      <w:instrText xml:space="preserve"> PAGE  \* MERGEFORMAT </w:instrText>
                    </w:r>
                    <w:r>
                      <w:fldChar w:fldCharType="separate"/>
                    </w:r>
                    <w:r>
                      <w:t>8</w:t>
                    </w:r>
                    <w:r>
                      <w:fldChar w:fldCharType="end"/>
                    </w:r>
                  </w:p>
                </w:txbxContent>
              </v:textbox>
            </v:shape>
          </w:pict>
        </mc:Fallback>
      </mc:AlternateContent>
    </w:r>
    <w:r>
      <w:rPr>
        <w:rFonts w:ascii="Times New Roman" w:hAnsi="Times New Roman" w:eastAsia="Times New Roman" w:cs="Times New Roman"/>
        <w:sz w:val="21"/>
        <w:szCs w:val="21"/>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437F3">
    <w:pPr>
      <w:spacing w:line="186" w:lineRule="auto"/>
      <w:ind w:left="4127"/>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B85F42">
                          <w:pPr>
                            <w:pStyle w:val="2"/>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FB85F42">
                    <w:pPr>
                      <w:pStyle w:val="2"/>
                    </w:pPr>
                    <w:r>
                      <w:fldChar w:fldCharType="begin"/>
                    </w:r>
                    <w:r>
                      <w:instrText xml:space="preserve"> PAGE  \* MERGEFORMAT </w:instrText>
                    </w:r>
                    <w:r>
                      <w:fldChar w:fldCharType="separate"/>
                    </w:r>
                    <w:r>
                      <w:t>9</w:t>
                    </w:r>
                    <w:r>
                      <w:fldChar w:fldCharType="end"/>
                    </w:r>
                  </w:p>
                </w:txbxContent>
              </v:textbox>
            </v:shape>
          </w:pict>
        </mc:Fallback>
      </mc:AlternateContent>
    </w:r>
    <w:r>
      <w:rPr>
        <w:rFonts w:ascii="Times New Roman" w:hAnsi="Times New Roman" w:eastAsia="Times New Roman" w:cs="Times New Roman"/>
        <w:sz w:val="21"/>
        <w:szCs w:val="21"/>
      </w:rPr>
      <w:t>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8DCE3">
    <w:pPr>
      <w:spacing w:line="186" w:lineRule="auto"/>
      <w:ind w:left="4122"/>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195906">
                          <w:pPr>
                            <w:pStyle w:val="2"/>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2195906">
                    <w:pPr>
                      <w:pStyle w:val="2"/>
                    </w:pPr>
                    <w:r>
                      <w:fldChar w:fldCharType="begin"/>
                    </w:r>
                    <w:r>
                      <w:instrText xml:space="preserve"> PAGE  \* MERGEFORMAT </w:instrText>
                    </w:r>
                    <w:r>
                      <w:fldChar w:fldCharType="separate"/>
                    </w:r>
                    <w:r>
                      <w:t>10</w:t>
                    </w:r>
                    <w:r>
                      <w:fldChar w:fldCharType="end"/>
                    </w:r>
                  </w:p>
                </w:txbxContent>
              </v:textbox>
            </v:shape>
          </w:pict>
        </mc:Fallback>
      </mc:AlternateContent>
    </w:r>
    <w:r>
      <w:rPr>
        <w:rFonts w:ascii="Times New Roman" w:hAnsi="Times New Roman" w:eastAsia="Times New Roman" w:cs="Times New Roman"/>
        <w:sz w:val="21"/>
        <w:szCs w:val="21"/>
      </w:rPr>
      <w:t>9</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9D9A0">
    <w:pPr>
      <w:spacing w:line="186" w:lineRule="auto"/>
      <w:ind w:left="4088"/>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FB798C">
                          <w:pPr>
                            <w:pStyle w:val="2"/>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4FB798C">
                    <w:pPr>
                      <w:pStyle w:val="2"/>
                    </w:pPr>
                    <w:r>
                      <w:fldChar w:fldCharType="begin"/>
                    </w:r>
                    <w:r>
                      <w:instrText xml:space="preserve"> PAGE  \* MERGEFORMAT </w:instrText>
                    </w:r>
                    <w:r>
                      <w:fldChar w:fldCharType="separate"/>
                    </w:r>
                    <w:r>
                      <w:t>11</w:t>
                    </w:r>
                    <w:r>
                      <w:fldChar w:fldCharType="end"/>
                    </w:r>
                  </w:p>
                </w:txbxContent>
              </v:textbox>
            </v:shape>
          </w:pict>
        </mc:Fallback>
      </mc:AlternateContent>
    </w:r>
    <w:r>
      <w:rPr>
        <w:rFonts w:ascii="Times New Roman" w:hAnsi="Times New Roman" w:eastAsia="Times New Roman" w:cs="Times New Roman"/>
        <w:spacing w:val="-6"/>
        <w:sz w:val="21"/>
        <w:szCs w:val="21"/>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81A2F5"/>
    <w:multiLevelType w:val="singleLevel"/>
    <w:tmpl w:val="5981A2F5"/>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BkNGE4MGJmYTdmMDA2ZDA4NDA3MDM5ZDdhMjk5NDEifQ=="/>
  </w:docVars>
  <w:rsids>
    <w:rsidRoot w:val="00000000"/>
    <w:rsid w:val="107500AE"/>
    <w:rsid w:val="28B95279"/>
    <w:rsid w:val="5F084C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10.png"/><Relationship Id="rId27" Type="http://schemas.openxmlformats.org/officeDocument/2006/relationships/image" Target="media/image9.jpeg"/><Relationship Id="rId26" Type="http://schemas.openxmlformats.org/officeDocument/2006/relationships/image" Target="media/image8.png"/><Relationship Id="rId25" Type="http://schemas.openxmlformats.org/officeDocument/2006/relationships/image" Target="media/image7.png"/><Relationship Id="rId24" Type="http://schemas.openxmlformats.org/officeDocument/2006/relationships/image" Target="media/image6.png"/><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8096</Words>
  <Characters>8982</Characters>
  <TotalTime>4</TotalTime>
  <ScaleCrop>false</ScaleCrop>
  <LinksUpToDate>false</LinksUpToDate>
  <CharactersWithSpaces>9125</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2024-08-07T08:54:00Z</dcterms:created>
  <dc:creator>王志强</dc:creator>
  <cp:lastModifiedBy>WPS_1702966838</cp:lastModifiedBy>
  <dcterms:modified xsi:type="dcterms:W3CDTF">2024-09-05T02:44:00Z</dcterms:modified>
  <dc:title>2015年度部门决算公开模板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2024-09-04T17:26:48Z</vt:filetime>
  </property>
  <property fmtid="{D5CDD505-2E9C-101B-9397-08002B2CF9AE}" pid="4" name="KSOProductBuildVer">
    <vt:lpwstr>2052-12.1.0.17827</vt:lpwstr>
  </property>
  <property fmtid="{D5CDD505-2E9C-101B-9397-08002B2CF9AE}" pid="5" name="ICV">
    <vt:lpwstr>92F70B62DC7041D483210617E86787FC_13</vt:lpwstr>
  </property>
</Properties>
</file>