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media/image5.png" ContentType="image/png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media/image2.png" ContentType="image/png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footer9.xml" ContentType="application/vnd.openxmlformats-officedocument.wordprocessingml.footer+xml"/>
  <Override PartName="/word/media/image9.png" ContentType="image/png"/>
  <Override PartName="/word/media/image10.png" ContentType="image/pn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media/image6.png" ContentType="image/png"/>
  <Override PartName="/word/footer8.xml" ContentType="application/vnd.openxmlformats-officedocument.wordprocessingml.footer+xml"/>
  <Override PartName="/docProps/custom.xml" ContentType="application/vnd.openxmlformats-officedocument.custom-properties+xml"/>
  <Override PartName="/word/media/image4.png" ContentType="image/png"/>
  <Override PartName="/word/media/image3.png" ContentType="image/png"/>
  <Override PartName="/word/media/image7.png" ContentType="image/png"/>
  <Override PartName="/docProps/app.xml" ContentType="application/vnd.openxmlformats-officedocument.extended-properties+xml"/>
  <Override PartName="/word/footer12.xml" ContentType="application/vnd.openxmlformats-officedocument.wordprocessingml.footer+xml"/>
  <Override PartName="/word/media/image1.png" ContentType="image/png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media/image8.png" ContentType="image/png"/>
  <Override PartName="/word/footer14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266F061A">
      <w:pPr>
        <w:spacing w:before="180" w:line="219" w:lineRule="auto"/>
        <w:ind w:left="47"/>
        <w:rPr>
          <w:sz w:val="28"/>
          <w:szCs w:val="28"/>
          <w:rFonts w:ascii="宋体" w:hAnsi="宋体" w:eastAsia="宋体" w:cs="宋体"/>
        </w:rPr>
      </w:pPr>
      <w:r>
        <w:rPr>
          <w:spacing w:val="-16"/>
          <w:sz w:val="28"/>
          <w:szCs w:val="28"/>
          <w:rFonts w:ascii="宋体" w:hAnsi="宋体" w:eastAsia="宋体" w:cs="宋体"/>
        </w:rPr>
        <w:t>附件</w:t>
      </w:r>
      <w:r>
        <w:rPr>
          <w:spacing w:val="-39"/>
          <w:sz w:val="28"/>
          <w:szCs w:val="28"/>
          <w:rFonts w:ascii="宋体" w:hAnsi="宋体" w:eastAsia="宋体" w:cs="宋体"/>
        </w:rPr>
        <w:t xml:space="preserve"> </w:t>
      </w:r>
      <w:r>
        <w:rPr>
          <w:spacing w:val="-16"/>
          <w:sz w:val="28"/>
          <w:szCs w:val="28"/>
          <w:rFonts w:ascii="宋体" w:hAnsi="宋体" w:eastAsia="宋体" w:cs="宋体"/>
        </w:rPr>
        <w:t>1：</w:t>
      </w:r>
    </w:p>
    <w:p w14:paraId="1D47CC46">
      <w:pPr>
        <w:pStyle w:val="2"/>
        <w:spacing w:line="251" w:lineRule="auto"/>
      </w:pPr>
    </w:p>
    <w:p w14:paraId="0305084C">
      <w:pPr>
        <w:pStyle w:val="2"/>
        <w:spacing w:line="251" w:lineRule="auto"/>
      </w:pPr>
    </w:p>
    <w:p w14:paraId="0A505029">
      <w:pPr>
        <w:pStyle w:val="2"/>
        <w:spacing w:line="252" w:lineRule="auto"/>
      </w:pPr>
    </w:p>
    <w:p w14:paraId="6AD43BCC">
      <w:pPr>
        <w:pStyle w:val="2"/>
        <w:spacing w:line="252" w:lineRule="auto"/>
      </w:pPr>
    </w:p>
    <w:p w14:paraId="16AACF81">
      <w:pPr>
        <w:pStyle w:val="2"/>
        <w:spacing w:line="252" w:lineRule="auto"/>
      </w:pPr>
    </w:p>
    <w:p w14:paraId="48DE5B7E">
      <w:pPr>
        <w:pStyle w:val="2"/>
        <w:spacing w:line="252" w:lineRule="auto"/>
      </w:pPr>
    </w:p>
    <w:p w14:paraId="4B012A1B">
      <w:pPr>
        <w:pStyle w:val="2"/>
        <w:spacing w:line="252" w:lineRule="auto"/>
      </w:pPr>
    </w:p>
    <w:p w14:paraId="0132BEB4">
      <w:pPr>
        <w:pStyle w:val="2"/>
        <w:spacing w:line="252" w:lineRule="auto"/>
      </w:pPr>
    </w:p>
    <w:p w14:paraId="1794352F">
      <w:pPr>
        <w:pStyle w:val="2"/>
        <w:spacing w:line="252" w:lineRule="auto"/>
      </w:pPr>
    </w:p>
    <w:p w14:paraId="04E9615D">
      <w:pPr>
        <w:pStyle w:val="2"/>
        <w:spacing w:line="252" w:lineRule="auto"/>
      </w:pPr>
    </w:p>
    <w:p w14:paraId="7D1EE5AA">
      <w:pPr>
        <w:pStyle w:val="2"/>
        <w:spacing w:line="252" w:lineRule="auto"/>
      </w:pPr>
    </w:p>
    <w:p w14:paraId="14A25FC8">
      <w:pPr>
        <w:pStyle w:val="2"/>
        <w:spacing w:line="252" w:lineRule="auto"/>
      </w:pPr>
    </w:p>
    <w:p w14:paraId="29BD3A69">
      <w:pPr>
        <w:pStyle w:val="2"/>
        <w:spacing w:line="252" w:lineRule="auto"/>
      </w:pPr>
    </w:p>
    <w:p w14:paraId="43DDC5F7">
      <w:pPr>
        <w:spacing w:before="180" w:line="187" w:lineRule="auto"/>
        <w:ind w:left="3255"/>
        <w:rPr>
          <w:sz w:val="42"/>
          <w:szCs w:val="42"/>
          <w:rFonts w:ascii="微软雅黑" w:hAnsi="微软雅黑" w:eastAsia="微软雅黑" w:cs="微软雅黑"/>
        </w:rPr>
      </w:pPr>
      <w:r>
        <w:rPr>
          <w:spacing w:val="4"/>
          <w:sz w:val="43"/>
          <w:szCs w:val="43"/>
          <w:rFonts w:ascii="宋体" w:hAnsi="宋体" w:eastAsia="宋体" w:cs="宋体"/>
        </w:rPr>
        <w:t>2023</w:t>
      </w:r>
      <w:r>
        <w:rPr>
          <w:spacing w:val="-103"/>
          <w:sz w:val="43"/>
          <w:szCs w:val="43"/>
          <w:rFonts w:ascii="宋体" w:hAnsi="宋体" w:eastAsia="宋体" w:cs="宋体"/>
        </w:rPr>
        <w:t xml:space="preserve"> </w:t>
      </w:r>
      <w:r>
        <w:rPr>
          <w:spacing w:val="4"/>
          <w:sz w:val="42"/>
          <w:szCs w:val="42"/>
          <w:rFonts w:ascii="微软雅黑" w:hAnsi="微软雅黑" w:eastAsia="微软雅黑" w:cs="微软雅黑"/>
        </w:rPr>
        <w:t>年度</w:t>
      </w:r>
    </w:p>
    <w:p w14:paraId="3186469A">
      <w:pPr>
        <w:pStyle w:val="2"/>
        <w:spacing w:line="477" w:lineRule="auto"/>
      </w:pPr>
    </w:p>
    <w:p w14:paraId="52F0A752">
      <w:pPr>
        <w:widowControl w:val="1"/>
        <w:keepNext w:val="0"/>
        <w:keepLines w:val="0"/>
        <w:jc w:val="left"/>
        <w:suppressLineNumbers w:val="0"/>
        <w:ind w:firstLine="860" w:firstLineChars="200"/>
      </w:pPr>
      <w:r>
        <w:rPr>
          <w:color w:val="000000"/>
          <w:sz w:val="43"/>
          <w:lang w:val="en-US" w:eastAsia="zh-CN" w:bidi="ar"/>
          <w:kern w:val="0"/>
          <w:szCs w:val="43"/>
          <w:rFonts w:ascii="宋体" w:hAnsi="宋体" w:eastAsia="宋体" w:cs="宋体" w:hint="eastAsia"/>
        </w:rPr>
        <w:t>长春市南关区明珠街道办事处部门决算</w:t>
      </w:r>
    </w:p>
    <w:p w14:paraId="628BEB76">
      <w:pPr>
        <w:pStyle w:val="2"/>
        <w:spacing w:line="242" w:lineRule="auto"/>
      </w:pPr>
    </w:p>
    <w:p w14:paraId="3D5FA54D">
      <w:pPr>
        <w:pStyle w:val="2"/>
        <w:spacing w:line="242" w:lineRule="auto"/>
      </w:pPr>
    </w:p>
    <w:p w14:paraId="436A3C0B">
      <w:pPr>
        <w:pStyle w:val="2"/>
        <w:spacing w:line="242" w:lineRule="auto"/>
      </w:pPr>
    </w:p>
    <w:p w14:paraId="3E7D55D7">
      <w:pPr>
        <w:pStyle w:val="2"/>
        <w:spacing w:line="242" w:lineRule="auto"/>
      </w:pPr>
    </w:p>
    <w:p w14:paraId="03BA9CB5">
      <w:pPr>
        <w:pStyle w:val="2"/>
        <w:spacing w:line="242" w:lineRule="auto"/>
      </w:pPr>
    </w:p>
    <w:p w14:paraId="218FF644">
      <w:pPr>
        <w:pStyle w:val="2"/>
        <w:spacing w:line="242" w:lineRule="auto"/>
      </w:pPr>
    </w:p>
    <w:p w14:paraId="66EAFA9B">
      <w:pPr>
        <w:pStyle w:val="2"/>
        <w:spacing w:line="242" w:lineRule="auto"/>
      </w:pPr>
    </w:p>
    <w:p w14:paraId="4B269A86">
      <w:pPr>
        <w:pStyle w:val="2"/>
        <w:spacing w:line="242" w:lineRule="auto"/>
      </w:pPr>
    </w:p>
    <w:p w14:paraId="0BB26963">
      <w:pPr>
        <w:pStyle w:val="2"/>
        <w:spacing w:line="242" w:lineRule="auto"/>
      </w:pPr>
    </w:p>
    <w:p w14:paraId="5F850DE9">
      <w:pPr>
        <w:pStyle w:val="2"/>
        <w:spacing w:line="242" w:lineRule="auto"/>
      </w:pPr>
    </w:p>
    <w:p w14:paraId="3FFF6CB0">
      <w:pPr>
        <w:pStyle w:val="2"/>
        <w:spacing w:line="242" w:lineRule="auto"/>
      </w:pPr>
    </w:p>
    <w:p w14:paraId="01D050B0">
      <w:pPr>
        <w:pStyle w:val="2"/>
        <w:spacing w:line="243" w:lineRule="auto"/>
      </w:pPr>
    </w:p>
    <w:p w14:paraId="46AA20B0">
      <w:pPr>
        <w:pStyle w:val="2"/>
        <w:spacing w:line="243" w:lineRule="auto"/>
      </w:pPr>
    </w:p>
    <w:p w14:paraId="2516F33E">
      <w:pPr>
        <w:pStyle w:val="2"/>
        <w:spacing w:line="243" w:lineRule="auto"/>
      </w:pPr>
    </w:p>
    <w:p w14:paraId="43FD3143">
      <w:pPr>
        <w:pStyle w:val="2"/>
        <w:spacing w:line="243" w:lineRule="auto"/>
      </w:pPr>
    </w:p>
    <w:p w14:paraId="1125C26D">
      <w:pPr>
        <w:pStyle w:val="2"/>
        <w:spacing w:line="243" w:lineRule="auto"/>
      </w:pPr>
    </w:p>
    <w:p w14:paraId="426B75C1">
      <w:pPr>
        <w:pStyle w:val="2"/>
        <w:spacing w:line="243" w:lineRule="auto"/>
      </w:pPr>
    </w:p>
    <w:p w14:paraId="23686CF7">
      <w:pPr>
        <w:pStyle w:val="2"/>
        <w:spacing w:line="243" w:lineRule="auto"/>
      </w:pPr>
    </w:p>
    <w:p w14:paraId="16142989">
      <w:pPr>
        <w:pStyle w:val="2"/>
        <w:spacing w:line="243" w:lineRule="auto"/>
      </w:pPr>
    </w:p>
    <w:p w14:paraId="74A3C85D">
      <w:pPr>
        <w:pStyle w:val="2"/>
        <w:spacing w:line="243" w:lineRule="auto"/>
      </w:pPr>
    </w:p>
    <w:p w14:paraId="38CD19D4">
      <w:pPr>
        <w:spacing w:before="101" w:line="224" w:lineRule="auto"/>
        <w:ind w:left="2944"/>
        <w:rPr>
          <w:sz w:val="31"/>
          <w:szCs w:val="31"/>
          <w:rFonts w:ascii="仿宋" w:hAnsi="仿宋" w:eastAsia="仿宋" w:cs="仿宋"/>
        </w:rPr>
      </w:pPr>
      <w:r>
        <w:rPr>
          <w:spacing w:val="-6"/>
          <w:sz w:val="31"/>
          <w:szCs w:val="31"/>
          <w:rFonts w:ascii="宋体" w:hAnsi="宋体" w:eastAsia="宋体" w:cs="宋体"/>
        </w:rPr>
        <w:t>2024</w:t>
      </w:r>
      <w:r>
        <w:rPr>
          <w:spacing w:val="-48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-6"/>
          <w:sz w:val="31"/>
          <w:szCs w:val="31"/>
          <w:rFonts w:ascii="仿宋" w:hAnsi="仿宋" w:eastAsia="仿宋" w:cs="仿宋"/>
        </w:rPr>
        <w:t>年</w:t>
      </w:r>
      <w:r>
        <w:rPr>
          <w:spacing w:val="2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3"/>
          <w:sz w:val="31"/>
          <w:lang w:val="en-US" w:eastAsia="zh-CN"/>
          <w:szCs w:val="31"/>
          <w:rFonts w:ascii="仿宋" w:hAnsi="仿宋" w:eastAsia="仿宋" w:cs="仿宋" w:hint="eastAsia"/>
        </w:rPr>
        <w:t>9</w:t>
      </w:r>
      <w:r>
        <w:rPr>
          <w:spacing w:val="-6"/>
          <w:sz w:val="31"/>
          <w:szCs w:val="31"/>
          <w:rFonts w:ascii="仿宋" w:hAnsi="仿宋" w:eastAsia="仿宋" w:cs="仿宋"/>
        </w:rPr>
        <w:t>月</w:t>
      </w:r>
      <w:r>
        <w:rPr>
          <w:spacing w:val="3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5"/>
          <w:sz w:val="31"/>
          <w:lang w:val="en-US" w:eastAsia="zh-CN"/>
          <w:szCs w:val="31"/>
          <w:rFonts w:ascii="仿宋" w:hAnsi="仿宋" w:eastAsia="仿宋" w:cs="仿宋" w:hint="eastAsia"/>
        </w:rPr>
        <w:t>5</w:t>
      </w:r>
      <w:r>
        <w:rPr>
          <w:spacing w:val="-6"/>
          <w:sz w:val="31"/>
          <w:szCs w:val="31"/>
          <w:rFonts w:ascii="仿宋" w:hAnsi="仿宋" w:eastAsia="仿宋" w:cs="仿宋"/>
        </w:rPr>
        <w:t>日</w:t>
      </w:r>
    </w:p>
    <w:p w14:paraId="5E161150">
      <w:pPr>
        <w:spacing w:line="224" w:lineRule="auto"/>
        <w:rPr>
          <w:sz w:val="31"/>
          <w:szCs w:val="31"/>
          <w:rFonts w:ascii="仿宋" w:hAnsi="仿宋" w:eastAsia="仿宋" w:cs="仿宋"/>
        </w:rPr>
        <w:sectPr>
          <w:footerReference r:id="rId7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9E0B18A">
      <w:pPr>
        <w:pStyle w:val="2"/>
        <w:spacing w:line="289" w:lineRule="auto"/>
      </w:pPr>
    </w:p>
    <w:p w14:paraId="6A3215AB">
      <w:pPr>
        <w:pStyle w:val="2"/>
        <w:spacing w:line="290" w:lineRule="auto"/>
      </w:pPr>
    </w:p>
    <w:p w14:paraId="4C9FE918">
      <w:pPr>
        <w:outlineLvl w:val="0"/>
        <w:spacing w:before="140" w:line="223" w:lineRule="auto"/>
        <w:ind w:left="3502"/>
        <w:rPr>
          <w:sz w:val="43"/>
          <w:szCs w:val="43"/>
          <w:rFonts w:ascii="仿宋" w:hAnsi="仿宋" w:eastAsia="仿宋" w:cs="仿宋"/>
        </w:rPr>
      </w:pPr>
      <w:r>
        <w:rPr>
          <w:spacing w:val="-49"/>
          <w:sz w:val="43"/>
          <w:szCs w:val="43"/>
          <w:rFonts w:ascii="仿宋" w:hAnsi="仿宋" w:eastAsia="仿宋" w:cs="仿宋"/>
        </w:rPr>
        <w:t>目</w:t>
      </w:r>
      <w:r>
        <w:rPr>
          <w:spacing w:val="20"/>
          <w:sz w:val="43"/>
          <w:szCs w:val="43"/>
          <w:rFonts w:ascii="仿宋" w:hAnsi="仿宋" w:eastAsia="仿宋" w:cs="仿宋"/>
        </w:rPr>
        <w:t xml:space="preserve">   </w:t>
      </w:r>
      <w:r>
        <w:rPr>
          <w:spacing w:val="-49"/>
          <w:sz w:val="43"/>
          <w:szCs w:val="43"/>
          <w:rFonts w:ascii="仿宋" w:hAnsi="仿宋" w:eastAsia="仿宋" w:cs="仿宋"/>
        </w:rPr>
        <w:t>录</w:t>
      </w:r>
    </w:p>
    <w:p w14:paraId="1A79D15B">
      <w:pPr>
        <w:pStyle w:val="2"/>
        <w:spacing w:line="341" w:lineRule="auto"/>
      </w:pPr>
    </w:p>
    <w:p w14:paraId="0885DF47">
      <w:pPr>
        <w:pStyle w:val="2"/>
        <w:spacing w:line="342" w:lineRule="auto"/>
      </w:pPr>
    </w:p>
    <w:p w14:paraId="6DF0EEB0">
      <w:pPr>
        <w:spacing w:before="101" w:line="223" w:lineRule="auto"/>
        <w:ind w:left="49"/>
        <w:rPr>
          <w:sz w:val="31"/>
          <w:szCs w:val="31"/>
          <w:rFonts w:ascii="仿宋" w:hAnsi="仿宋" w:eastAsia="仿宋" w:cs="仿宋"/>
        </w:rPr>
      </w:pPr>
      <w:r>
        <w:rPr>
          <w:b w:val="1"/>
          <w:sz w:val="31"/>
          <w:bCs/>
          <w:szCs w:val="31"/>
          <w:rFonts w:ascii="仿宋" w:hAnsi="仿宋" w:eastAsia="仿宋" w:cs="仿宋"/>
        </w:rPr>
        <w:t>第一部分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 </w:t>
      </w:r>
      <w:r>
        <w:rPr>
          <w:b w:val="1"/>
          <w:sz w:val="31"/>
          <w:bCs/>
          <w:szCs w:val="31"/>
          <w:rFonts w:ascii="仿宋" w:hAnsi="仿宋" w:eastAsia="仿宋" w:cs="仿宋"/>
        </w:rPr>
        <w:t>部门概况</w:t>
      </w:r>
    </w:p>
    <w:p w14:paraId="676A3FC8">
      <w:pPr>
        <w:spacing w:before="249" w:line="223" w:lineRule="auto"/>
        <w:ind w:left="40"/>
        <w:rPr>
          <w:sz w:val="31"/>
          <w:szCs w:val="31"/>
          <w:rFonts w:ascii="仿宋" w:hAnsi="仿宋" w:eastAsia="仿宋" w:cs="仿宋"/>
        </w:rPr>
      </w:pPr>
      <w:r>
        <w:rPr>
          <w:sz w:val="31"/>
          <w:szCs w:val="31"/>
          <w:rFonts w:ascii="仿宋" w:hAnsi="仿宋" w:eastAsia="仿宋" w:cs="仿宋"/>
        </w:rPr>
        <w:t>一、部门职责</w:t>
      </w:r>
    </w:p>
    <w:p w14:paraId="78D9438B">
      <w:pPr>
        <w:spacing w:before="250" w:line="222" w:lineRule="auto"/>
        <w:ind w:left="45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仿宋" w:hAnsi="仿宋" w:eastAsia="仿宋" w:cs="仿宋"/>
        </w:rPr>
        <w:t>二、机构设置及部门决算单位构成</w:t>
      </w:r>
    </w:p>
    <w:p w14:paraId="1C11521C">
      <w:pPr>
        <w:outlineLvl w:val="1"/>
        <w:spacing w:before="250" w:line="223" w:lineRule="auto"/>
        <w:ind w:left="49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2"/>
          <w:sz w:val="31"/>
          <w:bCs/>
          <w:szCs w:val="31"/>
          <w:rFonts w:ascii="仿宋" w:hAnsi="仿宋" w:eastAsia="仿宋" w:cs="仿宋"/>
        </w:rPr>
        <w:t>第二部分</w:t>
      </w:r>
      <w:r>
        <w:rPr>
          <w:spacing w:val="2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2"/>
          <w:sz w:val="31"/>
          <w:bCs/>
          <w:szCs w:val="31"/>
          <w:rFonts w:ascii="宋体" w:hAnsi="宋体" w:eastAsia="宋体" w:cs="宋体"/>
        </w:rPr>
        <w:t>2023</w:t>
      </w:r>
      <w:r>
        <w:rPr>
          <w:spacing w:val="-36"/>
          <w:sz w:val="31"/>
          <w:szCs w:val="31"/>
          <w:rFonts w:ascii="宋体" w:hAnsi="宋体" w:eastAsia="宋体" w:cs="宋体"/>
        </w:rPr>
        <w:t xml:space="preserve"> </w:t>
      </w:r>
      <w:r>
        <w:rPr>
          <w:b w:val="1"/>
          <w:spacing w:val="2"/>
          <w:sz w:val="31"/>
          <w:bCs/>
          <w:szCs w:val="31"/>
          <w:rFonts w:ascii="仿宋" w:hAnsi="仿宋" w:eastAsia="仿宋" w:cs="仿宋"/>
        </w:rPr>
        <w:t>年度部门决算表</w:t>
      </w:r>
    </w:p>
    <w:p w14:paraId="7A2A85E4">
      <w:pPr>
        <w:spacing w:before="250" w:line="223" w:lineRule="auto"/>
        <w:ind w:left="40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仿宋" w:hAnsi="仿宋" w:eastAsia="仿宋" w:cs="仿宋"/>
        </w:rPr>
        <w:t>一、收入支出决算总表</w:t>
      </w:r>
    </w:p>
    <w:p w14:paraId="31184789">
      <w:pPr>
        <w:spacing w:before="250" w:line="223" w:lineRule="auto"/>
        <w:ind w:left="45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二、收入决算表</w:t>
      </w:r>
    </w:p>
    <w:p w14:paraId="7C8F23B0">
      <w:pPr>
        <w:spacing w:before="249" w:line="223" w:lineRule="auto"/>
        <w:ind w:left="44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三、支出决算表</w:t>
      </w:r>
    </w:p>
    <w:p w14:paraId="3D6B8E06">
      <w:pPr>
        <w:spacing w:before="250" w:line="223" w:lineRule="auto"/>
        <w:ind w:left="73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四、财政拨款收入支出决算总表</w:t>
      </w:r>
    </w:p>
    <w:p w14:paraId="4E058799">
      <w:pPr>
        <w:spacing w:before="249" w:line="223" w:lineRule="auto"/>
        <w:ind w:left="40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五、一般公共预算财政拨款支出决算表</w:t>
      </w:r>
    </w:p>
    <w:p w14:paraId="6951FE1E">
      <w:pPr>
        <w:spacing w:before="250" w:line="223" w:lineRule="auto"/>
        <w:ind w:left="38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六、一般公共预算财政拨款基本支出决算明细表</w:t>
      </w:r>
    </w:p>
    <w:p w14:paraId="19E4A5F2">
      <w:pPr>
        <w:spacing w:before="251" w:line="221" w:lineRule="auto"/>
        <w:ind w:left="41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仿宋" w:hAnsi="仿宋" w:eastAsia="仿宋" w:cs="仿宋"/>
        </w:rPr>
        <w:t>七、政府性基金预算财政拨款收入支出决算表</w:t>
      </w:r>
    </w:p>
    <w:p w14:paraId="318CE5B6">
      <w:pPr>
        <w:spacing w:before="252" w:line="223" w:lineRule="auto"/>
        <w:ind w:left="34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八、</w:t>
      </w:r>
      <w:r>
        <w:rPr>
          <w:spacing w:val="-8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国有资本经营预算财政拨款支出决算表</w:t>
      </w:r>
    </w:p>
    <w:p w14:paraId="52709AA0">
      <w:pPr>
        <w:spacing w:before="249" w:line="223" w:lineRule="auto"/>
        <w:ind w:left="47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九、财政拨款“三公”经费支出决算表</w:t>
      </w:r>
    </w:p>
    <w:p w14:paraId="4E7D4205">
      <w:pPr>
        <w:spacing w:before="250" w:line="223" w:lineRule="auto"/>
        <w:ind w:left="44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十、部门预算项目支出绩效自评表</w:t>
      </w:r>
    </w:p>
    <w:p w14:paraId="5BC0A644">
      <w:pPr>
        <w:outlineLvl w:val="1"/>
        <w:spacing w:before="249" w:line="223" w:lineRule="auto"/>
        <w:ind w:left="49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3"/>
          <w:sz w:val="31"/>
          <w:bCs/>
          <w:szCs w:val="31"/>
          <w:rFonts w:ascii="仿宋" w:hAnsi="仿宋" w:eastAsia="仿宋" w:cs="仿宋"/>
        </w:rPr>
        <w:t>第三部分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  </w:t>
      </w:r>
      <w:r>
        <w:rPr>
          <w:b w:val="1"/>
          <w:spacing w:val="3"/>
          <w:sz w:val="31"/>
          <w:bCs/>
          <w:szCs w:val="31"/>
          <w:rFonts w:ascii="宋体" w:hAnsi="宋体" w:eastAsia="宋体" w:cs="宋体"/>
        </w:rPr>
        <w:t>2023</w:t>
      </w:r>
      <w:r>
        <w:rPr>
          <w:spacing w:val="-37"/>
          <w:sz w:val="31"/>
          <w:szCs w:val="31"/>
          <w:rFonts w:ascii="宋体" w:hAnsi="宋体" w:eastAsia="宋体" w:cs="宋体"/>
        </w:rPr>
        <w:t xml:space="preserve"> </w:t>
      </w:r>
      <w:r>
        <w:rPr>
          <w:b w:val="1"/>
          <w:spacing w:val="3"/>
          <w:sz w:val="31"/>
          <w:bCs/>
          <w:szCs w:val="31"/>
          <w:rFonts w:ascii="仿宋" w:hAnsi="仿宋" w:eastAsia="仿宋" w:cs="仿宋"/>
        </w:rPr>
        <w:t>年度部门决算情况说明</w:t>
      </w:r>
    </w:p>
    <w:p w14:paraId="5AE9436D">
      <w:pPr>
        <w:spacing w:before="250" w:line="223" w:lineRule="auto"/>
        <w:ind w:left="40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一、收入支出决算总体情况说明</w:t>
      </w:r>
    </w:p>
    <w:p w14:paraId="65AFAC9C">
      <w:pPr>
        <w:spacing w:before="250" w:line="223" w:lineRule="auto"/>
        <w:ind w:left="45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二、收入决算情况说明</w:t>
      </w:r>
    </w:p>
    <w:p w14:paraId="6DB92B5E">
      <w:pPr>
        <w:spacing w:before="250" w:line="223" w:lineRule="auto"/>
        <w:ind w:left="44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三、支出决算情况说明</w:t>
      </w:r>
    </w:p>
    <w:p w14:paraId="39C125B0">
      <w:pPr>
        <w:spacing w:before="249" w:line="223" w:lineRule="auto"/>
        <w:ind w:left="73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四、财政拨款收入支出决算总体情况说明</w:t>
      </w:r>
    </w:p>
    <w:p w14:paraId="1AB91624">
      <w:pPr>
        <w:spacing w:line="223" w:lineRule="auto"/>
        <w:rPr>
          <w:sz w:val="31"/>
          <w:szCs w:val="31"/>
          <w:rFonts w:ascii="仿宋" w:hAnsi="仿宋" w:eastAsia="仿宋" w:cs="仿宋"/>
        </w:rPr>
        <w:sectPr>
          <w:footerReference r:id="rId8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45BF3173">
      <w:pPr>
        <w:spacing w:before="159" w:line="223" w:lineRule="auto"/>
        <w:ind w:left="40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五、一般公共预算财政拨款支出决算情况说明</w:t>
      </w:r>
    </w:p>
    <w:p w14:paraId="63540203">
      <w:pPr>
        <w:spacing w:before="249" w:line="223" w:lineRule="auto"/>
        <w:ind w:left="38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六、一般公共预算财政拨款基本支出决算情况说明</w:t>
      </w:r>
    </w:p>
    <w:p w14:paraId="078917B2">
      <w:pPr>
        <w:spacing w:before="250" w:line="221" w:lineRule="auto"/>
        <w:ind w:left="41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七、政府性基金预算财政拨款收入支出决算情况说明</w:t>
      </w:r>
    </w:p>
    <w:p w14:paraId="5A4288A0">
      <w:pPr>
        <w:spacing w:before="251" w:line="223" w:lineRule="auto"/>
        <w:ind w:left="34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八、</w:t>
      </w:r>
      <w:r>
        <w:rPr>
          <w:spacing w:val="-9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国有资本经营预算财政拨款支出决算情况说明</w:t>
      </w:r>
    </w:p>
    <w:p w14:paraId="29748006">
      <w:pPr>
        <w:spacing w:before="250" w:line="223" w:lineRule="auto"/>
        <w:ind w:left="47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九、财政拨款“三公”经费支出决算情况说明</w:t>
      </w:r>
    </w:p>
    <w:p w14:paraId="61CB51EA">
      <w:pPr>
        <w:spacing w:before="249" w:line="224" w:lineRule="auto"/>
        <w:ind w:left="44"/>
        <w:rPr>
          <w:sz w:val="31"/>
          <w:szCs w:val="31"/>
          <w:rFonts w:ascii="仿宋" w:hAnsi="仿宋" w:eastAsia="仿宋" w:cs="仿宋"/>
        </w:rPr>
      </w:pPr>
      <w:r>
        <w:rPr>
          <w:spacing w:val="6"/>
          <w:sz w:val="31"/>
          <w:szCs w:val="31"/>
          <w:rFonts w:ascii="仿宋" w:hAnsi="仿宋" w:eastAsia="仿宋" w:cs="仿宋"/>
        </w:rPr>
        <w:t>十、绩效评价情况说明</w:t>
      </w:r>
    </w:p>
    <w:p w14:paraId="48463646">
      <w:pPr>
        <w:spacing w:before="248" w:line="223" w:lineRule="auto"/>
        <w:ind w:left="44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仿宋" w:hAnsi="仿宋" w:eastAsia="仿宋" w:cs="仿宋"/>
        </w:rPr>
        <w:t>十一、其他重要事项情况说明</w:t>
      </w:r>
    </w:p>
    <w:p w14:paraId="57383E0B">
      <w:pPr>
        <w:spacing w:before="250" w:line="224" w:lineRule="auto"/>
        <w:ind w:left="49"/>
        <w:rPr>
          <w:sz w:val="31"/>
          <w:szCs w:val="31"/>
          <w:rFonts w:ascii="仿宋" w:hAnsi="仿宋" w:eastAsia="仿宋" w:cs="仿宋"/>
        </w:rPr>
      </w:pPr>
      <w:r>
        <w:rPr>
          <w:b w:val="1"/>
          <w:sz w:val="31"/>
          <w:bCs/>
          <w:szCs w:val="31"/>
          <w:rFonts w:ascii="仿宋" w:hAnsi="仿宋" w:eastAsia="仿宋" w:cs="仿宋"/>
        </w:rPr>
        <w:t>第四部分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 </w:t>
      </w:r>
      <w:r>
        <w:rPr>
          <w:b w:val="1"/>
          <w:sz w:val="31"/>
          <w:bCs/>
          <w:szCs w:val="31"/>
          <w:rFonts w:ascii="仿宋" w:hAnsi="仿宋" w:eastAsia="仿宋" w:cs="仿宋"/>
        </w:rPr>
        <w:t>名词解释</w:t>
      </w:r>
    </w:p>
    <w:p w14:paraId="2DBDA3C7">
      <w:pPr>
        <w:spacing w:line="224" w:lineRule="auto"/>
        <w:rPr>
          <w:sz w:val="31"/>
          <w:szCs w:val="31"/>
          <w:rFonts w:ascii="仿宋" w:hAnsi="仿宋" w:eastAsia="仿宋" w:cs="仿宋"/>
        </w:rPr>
        <w:sectPr>
          <w:footerReference r:id="rId9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7707005">
      <w:pPr>
        <w:pStyle w:val="2"/>
        <w:spacing w:line="328" w:lineRule="auto"/>
      </w:pPr>
    </w:p>
    <w:p w14:paraId="39B14690">
      <w:pPr>
        <w:pStyle w:val="2"/>
        <w:spacing w:line="328" w:lineRule="auto"/>
      </w:pPr>
    </w:p>
    <w:p w14:paraId="5F6E436B">
      <w:pPr>
        <w:widowControl w:val="1"/>
        <w:keepNext w:val="0"/>
        <w:keepLines w:val="0"/>
        <w:jc w:val="center"/>
        <w:suppressLineNumbers w:val="0"/>
      </w:pPr>
      <w:r>
        <w:rPr>
          <w:color w:val="000000"/>
          <w:sz w:val="43"/>
          <w:lang w:val="en-US" w:eastAsia="zh-CN" w:bidi="ar"/>
          <w:kern w:val="0"/>
          <w:szCs w:val="43"/>
          <w:rFonts w:ascii="宋体" w:hAnsi="宋体" w:eastAsia="宋体" w:cs="宋体" w:hint="eastAsia"/>
        </w:rPr>
        <w:t>第一部分</w:t>
      </w:r>
    </w:p>
    <w:p w14:paraId="0F50E93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43"/>
          <w:lang w:val="en-US" w:eastAsia="zh-CN" w:bidi="ar"/>
          <w:kern w:val="0"/>
          <w:szCs w:val="43"/>
          <w:rFonts w:ascii="宋体" w:hAnsi="宋体" w:eastAsia="宋体" w:cs="宋体" w:hint="eastAsia"/>
        </w:rPr>
        <w:t>部门概况</w:t>
      </w:r>
    </w:p>
    <w:p w14:paraId="67F1FA1A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一、部门职责 </w:t>
      </w:r>
    </w:p>
    <w:p w14:paraId="1A069FE1">
      <w:pPr>
        <w:widowControl w:val="1"/>
        <w:keepNext w:val="0"/>
        <w:keepLines w:val="0"/>
        <w:jc w:val="center"/>
        <w:suppressLineNumbers w:val="0"/>
      </w:pPr>
      <w:r>
        <w:rPr>
          <w:b w:val="1"/>
          <w:color w:val="000000"/>
          <w:sz w:val="36"/>
          <w:lang w:val="en-US" w:eastAsia="zh-CN" w:bidi="ar"/>
          <w:bCs/>
          <w:kern w:val="0"/>
          <w:szCs w:val="36"/>
          <w:rFonts w:ascii="宋体" w:hAnsi="宋体" w:eastAsia="宋体" w:cs="宋体" w:hint="eastAsia"/>
        </w:rPr>
        <w:t>中共长春市南关区明珠街道工作委员会</w:t>
      </w:r>
    </w:p>
    <w:p w14:paraId="610668FD">
      <w:pPr>
        <w:widowControl w:val="1"/>
        <w:keepNext w:val="0"/>
        <w:keepLines w:val="0"/>
        <w:jc w:val="center"/>
        <w:suppressLineNumbers w:val="0"/>
      </w:pPr>
      <w:r>
        <w:rPr>
          <w:b w:val="1"/>
          <w:color w:val="000000"/>
          <w:sz w:val="36"/>
          <w:lang w:val="en-US" w:eastAsia="zh-CN" w:bidi="ar"/>
          <w:bCs/>
          <w:kern w:val="0"/>
          <w:szCs w:val="36"/>
          <w:rFonts w:ascii="宋体" w:hAnsi="宋体" w:eastAsia="宋体" w:cs="宋体" w:hint="eastAsia"/>
        </w:rPr>
        <w:t>长春市南关区明珠街道办事处</w:t>
      </w:r>
    </w:p>
    <w:p w14:paraId="1C686D0E">
      <w:pPr>
        <w:widowControl w:val="1"/>
        <w:keepNext w:val="0"/>
        <w:keepLines w:val="0"/>
        <w:jc w:val="center"/>
        <w:suppressLineNumbers w:val="0"/>
        <w:rPr>
          <w:b w:val="1"/>
          <w:color w:val="000000"/>
          <w:sz w:val="36"/>
          <w:lang w:val="en-US" w:eastAsia="zh-CN" w:bidi="ar"/>
          <w:bCs/>
          <w:kern w:val="0"/>
          <w:szCs w:val="36"/>
          <w:rFonts w:ascii="宋体" w:hAnsi="宋体" w:eastAsia="宋体" w:cs="宋体" w:hint="eastAsia"/>
        </w:rPr>
      </w:pPr>
      <w:r>
        <w:rPr>
          <w:b w:val="1"/>
          <w:color w:val="000000"/>
          <w:sz w:val="36"/>
          <w:lang w:val="en-US" w:eastAsia="zh-CN" w:bidi="ar"/>
          <w:bCs/>
          <w:kern w:val="0"/>
          <w:szCs w:val="36"/>
          <w:rFonts w:ascii="宋体" w:hAnsi="宋体" w:eastAsia="宋体" w:cs="宋体" w:hint="eastAsia"/>
        </w:rPr>
        <w:t>职能配置机构设置和人员编制规定</w:t>
      </w:r>
    </w:p>
    <w:p w14:paraId="2A778EB6">
      <w:pPr>
        <w:widowControl w:val="1"/>
        <w:keepNext w:val="0"/>
        <w:keepLines w:val="0"/>
        <w:jc w:val="center"/>
        <w:suppressLineNumbers w:val="0"/>
        <w:rPr>
          <w:b w:val="1"/>
          <w:color w:val="000000"/>
          <w:sz w:val="36"/>
          <w:lang w:val="en-US" w:eastAsia="zh-CN" w:bidi="ar"/>
          <w:bCs/>
          <w:kern w:val="0"/>
          <w:szCs w:val="36"/>
          <w:rFonts w:ascii="宋体" w:hAnsi="宋体" w:eastAsia="宋体" w:cs="宋体" w:hint="eastAsia"/>
        </w:rPr>
      </w:pPr>
    </w:p>
    <w:p w14:paraId="3575CEAA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第一条根据《中共吉林省委办公厅吉林省人民政府办公 </w:t>
      </w:r>
    </w:p>
    <w:p w14:paraId="67B3CD1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厅印发&lt;关于深化乡镇街道机构改革推进基层整合审批服务 </w:t>
      </w:r>
    </w:p>
    <w:p w14:paraId="24504492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执法力量的实施意见&gt;的通知》(吉办发〔2019〕43 号)和《中共长春市委办公厅长春市人民政府办公厅关于印发&lt;长春市 </w:t>
      </w:r>
    </w:p>
    <w:p w14:paraId="0B424B0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南关区关于深化乡镇街道机构改革推进基层整合审批服务 </w:t>
      </w:r>
    </w:p>
    <w:p w14:paraId="1DC5190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执法力量的实施方案&gt;的通知》(长斤字〔2019〕18 号)精神， </w:t>
      </w:r>
    </w:p>
    <w:p w14:paraId="6E90F20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制定本规定。 </w:t>
      </w:r>
    </w:p>
    <w:p w14:paraId="42DD036B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第二条中共长春市南关区明珠街道工作委员会(以下简 </w:t>
      </w:r>
    </w:p>
    <w:p w14:paraId="1DF74EB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称明珠街道党工委)为区委派出机关，是辖区各种组织、区 </w:t>
      </w:r>
    </w:p>
    <w:p w14:paraId="70B14592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级部门延伸机构和各项工作的领导核心，全面领导辖区经 </w:t>
      </w:r>
    </w:p>
    <w:p w14:paraId="271DCA3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济、政治、文化、社会和生态文明建设，对辖区党的建设全面负责。长春市南关区明珠街道办事处(以下简称明珠街道 </w:t>
      </w:r>
    </w:p>
    <w:p w14:paraId="353FAD29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办事处)为区政府派出机关，根据辖区经济社会发展特点和 </w:t>
      </w:r>
    </w:p>
    <w:p w14:paraId="17E697D4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资源禀赋，确定功能定位，加快职能转变步伐，依法履行相 </w:t>
      </w:r>
    </w:p>
    <w:p w14:paraId="21039E88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应政府服务和管理职责，推进区域发展。 </w:t>
      </w:r>
    </w:p>
    <w:p w14:paraId="66F0D581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第三条 明珠街道党工委、办事处的主要职责是: </w:t>
      </w:r>
    </w:p>
    <w:p w14:paraId="54A45A36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(一)宣传贯彻执行党的路线方针政策和国家法律法规， </w:t>
      </w:r>
    </w:p>
    <w:p w14:paraId="11D3D7D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落实上级党委、政府决策部署。 </w:t>
      </w:r>
    </w:p>
    <w:p w14:paraId="3B17AD79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(二)加强党的建设。落实基层党建工作责任制，坚持和 </w:t>
      </w:r>
    </w:p>
    <w:p w14:paraId="43BC084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完善党的全面领导，加强党的组织体系建设，不断增强党的 </w:t>
      </w:r>
    </w:p>
    <w:p w14:paraId="1EE179F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政治领导力、思想引领力、群众组织力和社会号召力。全面 </w:t>
      </w:r>
    </w:p>
    <w:p w14:paraId="5358C00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推进党的政治建设、思想建设、组织建设、作风建设、纪律 </w:t>
      </w:r>
    </w:p>
    <w:p w14:paraId="42C2C2E9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建设，把制度建设贯穿其中，深入推进反腐败斗争。加强街 </w:t>
      </w:r>
    </w:p>
    <w:p w14:paraId="283ABB5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道党工委自身建设和社区党组织建设，以及其他隶属街道党 </w:t>
      </w:r>
    </w:p>
    <w:p w14:paraId="446F9E7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工委的党组织建设。统筹协调辖区内各领域党建工作，抓好 </w:t>
      </w:r>
    </w:p>
    <w:p w14:paraId="1463FFA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新领域新业态新群体党建，推进街道、社区党建与单位党建、 </w:t>
      </w:r>
    </w:p>
    <w:p w14:paraId="42851239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行业党建、区域化党建互联互动。加强基层意识形态、精神 </w:t>
      </w:r>
    </w:p>
    <w:p w14:paraId="011D15E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文明建设和统战(民族宗教)工作。 </w:t>
      </w:r>
    </w:p>
    <w:p w14:paraId="1DBE603B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(三)统筹区域发展。统筹落实辖区发展的重大决策和辖 </w:t>
      </w:r>
    </w:p>
    <w:p w14:paraId="5202429A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区建设规划，强化对涉及本区域内人民群众利益的重大决 </w:t>
      </w:r>
    </w:p>
    <w:p w14:paraId="3D4D407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策、重大项目和公共服务设施布局的参与权和建议权，推动 </w:t>
      </w:r>
    </w:p>
    <w:p w14:paraId="6F5E73A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辖区健康、有序、可持续发展。推进产业升级、经济结构调 </w:t>
      </w:r>
    </w:p>
    <w:p w14:paraId="0589A9F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20"/>
          <w:lang w:val="en-US" w:eastAsia="zh-CN" w:bidi="ar"/>
          <w:kern w:val="0"/>
          <w:szCs w:val="20"/>
          <w:rFonts w:ascii="Times New Roman" w:hAnsi="Times New Roman" w:eastAsia="宋体" w:cs="Times New Roman" w:hint="default"/>
        </w:rPr>
        <w:t>5</w:t>
      </w: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整和经济增长方式转变，推动辖区经济发展。协同统计部门 </w:t>
      </w:r>
    </w:p>
    <w:p w14:paraId="4AD3C75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做好相关统计工作，统筹做好企业服务工作，营造良好营商 </w:t>
      </w:r>
    </w:p>
    <w:p w14:paraId="7F3B9D3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环境。做好人才服务和引进工作。承担扶贫相关工作。 </w:t>
      </w:r>
    </w:p>
    <w:p w14:paraId="0AFCF483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(四)组织公共服务。推进政府职能由“管理型”向“服 </w:t>
      </w:r>
    </w:p>
    <w:p w14:paraId="13D42D7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务型”转变，推进基本公共服务均等化，推动优质公共服务 </w:t>
      </w:r>
    </w:p>
    <w:p w14:paraId="370F068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资源向社区延伸。创新公共服务供给方式，加快建立政府主 </w:t>
      </w:r>
    </w:p>
    <w:p w14:paraId="08BC981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导、社会参与、公办民办并举的公共服务供给模式,加大政 </w:t>
      </w:r>
    </w:p>
    <w:p w14:paraId="07EBE22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府购买服务力度。组织实施与群众生活密切相关的公共服 </w:t>
      </w:r>
    </w:p>
    <w:p w14:paraId="2163BE3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务，落实人社、医保、民政、退役军人、教育、文化旅游、 </w:t>
      </w:r>
    </w:p>
    <w:p w14:paraId="36B92AC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体育、卫生健康、残联、红十字会等领域相关政策，做好民 </w:t>
      </w:r>
    </w:p>
    <w:p w14:paraId="7F1EDB5D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生保障工作。 </w:t>
      </w:r>
    </w:p>
    <w:p w14:paraId="1E6A6A21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(五)实施综合管理。负责辖区公共事务综合管理，组织 </w:t>
      </w:r>
    </w:p>
    <w:p w14:paraId="64A8661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领导、推进实施、综合协调和监督检查辖区内城市管理、人 </w:t>
      </w:r>
    </w:p>
    <w:p w14:paraId="61B0A4D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口管理社会管理等综合性工作。加强对上级职能部门派驻工 </w:t>
      </w:r>
    </w:p>
    <w:p w14:paraId="13FAEF0D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作力量的指挥调度和考核监督。负责综合执法、生态环境保 </w:t>
      </w:r>
    </w:p>
    <w:p w14:paraId="29F2212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护、市容和环境卫生管理工作，统筹辖区内自然资源管理、 </w:t>
      </w:r>
    </w:p>
    <w:p w14:paraId="5B9155A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市场监管相关工作。负责对辖区内物业服务企业的日常监 </w:t>
      </w:r>
    </w:p>
    <w:p w14:paraId="374237B8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管，对辖区住宅小区开展综合管理。 </w:t>
      </w:r>
    </w:p>
    <w:p w14:paraId="140D61B6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(六)动员社会参与。坚持以基层党建引领基层治理，动 </w:t>
      </w:r>
    </w:p>
    <w:p w14:paraId="60659DB4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员指导辖区内各类单位、社会组织和社区等社会力量参与社 </w:t>
      </w:r>
    </w:p>
    <w:p w14:paraId="41C651E2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会治理，引导辖区单位履行社会责任，整合辖区内各种社会 </w:t>
      </w:r>
    </w:p>
    <w:p w14:paraId="1492B94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力量为街道、社区发展服务。做实做强由党建引领的基层共 </w:t>
      </w:r>
    </w:p>
    <w:p w14:paraId="61E7C8B4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治基本单元，构建党组织统一领导、各类组织积极协同、广 </w:t>
      </w:r>
    </w:p>
    <w:p w14:paraId="1F91FDFE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大群众广泛参与的基层治理体系。 </w:t>
      </w:r>
    </w:p>
    <w:p w14:paraId="09BE36B4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(七)领导基层自治。发挥社区党组织在基层群众自治组 </w:t>
      </w:r>
    </w:p>
    <w:p w14:paraId="075D35D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织建设中的领导核心作用，完善党领导下的基层社会治理体 </w:t>
      </w:r>
    </w:p>
    <w:p w14:paraId="463F36E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系，加强社会主义民主法治建设，做好组织群众、宣传群众、 </w:t>
      </w:r>
    </w:p>
    <w:p w14:paraId="6ECC8C08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凝聚群众、服务群众工作，发挥居民在基层社会治理中的主 </w:t>
      </w:r>
    </w:p>
    <w:p w14:paraId="02C63E1E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体作用，提高自治整体水平。 </w:t>
      </w:r>
    </w:p>
    <w:p w14:paraId="2A6D0D0D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(八)维护安全稳定。负责辖区平安建设、综合治理、应 </w:t>
      </w:r>
    </w:p>
    <w:p w14:paraId="29FFE56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急管理、安全生产管理等工作。处理群众来信来访，反映社 </w:t>
      </w:r>
    </w:p>
    <w:p w14:paraId="0CDFD80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情民意，有效化解各类矛盾纠纷。 </w:t>
      </w:r>
    </w:p>
    <w:p w14:paraId="0DF45FC5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(九)深化“放管服”和“最多跑一次”改革。依托街道 </w:t>
      </w:r>
    </w:p>
    <w:p w14:paraId="136C4C8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便民服务平台，推进审批服务事项向便民服务中心集中，保 </w:t>
      </w:r>
    </w:p>
    <w:p w14:paraId="2EE5418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障便民服务中心的审批服务事项到位、权限到位。推进街道 </w:t>
      </w:r>
    </w:p>
    <w:p w14:paraId="5BC0D13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便民服务平台标准化建设，加快实现政务服务马上办、网上 </w:t>
      </w:r>
    </w:p>
    <w:p w14:paraId="46453ED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办、就近办、次办，提升政务服务质量。 </w:t>
      </w:r>
    </w:p>
    <w:p w14:paraId="47C8329A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(十)完成区委、区政府交办的其他任务。 </w:t>
      </w:r>
    </w:p>
    <w:p w14:paraId="065D603B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二、机构设置及部门决算单位构成 </w:t>
      </w:r>
    </w:p>
    <w:p w14:paraId="51E135F5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第四条 明珠街道党工委、办事处设下列综合性办事机 </w:t>
      </w:r>
    </w:p>
    <w:p w14:paraId="0DC0AD3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构: </w:t>
      </w:r>
    </w:p>
    <w:p w14:paraId="06A436DC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(一)综合办公室。负责机关日常运转，承担机关文电、 </w:t>
      </w:r>
    </w:p>
    <w:p w14:paraId="168CF28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会务、机要、保密、档案、检查督办、政务公开、公开电话、 </w:t>
      </w:r>
    </w:p>
    <w:p w14:paraId="6710879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信息化建设、节能减排、财务、审计、固定资产管理、后勤 </w:t>
      </w:r>
    </w:p>
    <w:p w14:paraId="2F541538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保障等工作。 </w:t>
      </w:r>
    </w:p>
    <w:p w14:paraId="539E0E97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(二)党建工作办公室。负责党的政治建设、组织建设和 </w:t>
      </w:r>
    </w:p>
    <w:p w14:paraId="40D1D66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宣传、意识形态、精神文明建设、统战(民族宗教)等工作。 </w:t>
      </w:r>
    </w:p>
    <w:p w14:paraId="6BCEBBD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统筹协调辖区内各领域党建工作，抓好新领域新业态新群体 </w:t>
      </w:r>
    </w:p>
    <w:p w14:paraId="0E6DB368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党建，推进街道、社区党建与单位党建、行业党建、区域化 </w:t>
      </w:r>
    </w:p>
    <w:p w14:paraId="238DDDE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党建互联互动。负责机关党务、干部队伍建设及干部人事、 </w:t>
      </w:r>
    </w:p>
    <w:p w14:paraId="31D5977A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机构编制、老干部工作，协调管理派驻机构人员，落实街道 </w:t>
      </w:r>
    </w:p>
    <w:p w14:paraId="16FAFEE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对部门派出机构负责人人事考核权、选拔任用的征得同意权 </w:t>
      </w:r>
    </w:p>
    <w:p w14:paraId="63309276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和对驻街区单位创先争优、文明单位创建的审核建议权。负 </w:t>
      </w:r>
    </w:p>
    <w:p w14:paraId="472EFE9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责指导工会、共青团、妇联等群团工作。联络服务党代会代 </w:t>
      </w:r>
    </w:p>
    <w:p w14:paraId="6375D1A2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表、人大代表和政协委员。统筹推进辖区人才工作。领导社 </w:t>
      </w:r>
    </w:p>
    <w:p w14:paraId="4FB980D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区自治工作，牵头负责党群服务平台工作。 </w:t>
      </w:r>
    </w:p>
    <w:p w14:paraId="46CEC351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(三)社会事务办公室，具体承担社会事务和公共服务等 </w:t>
      </w:r>
    </w:p>
    <w:p w14:paraId="23181BBA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工作职责，落实人社、医保、民政、退役军人、教育、文化 </w:t>
      </w:r>
    </w:p>
    <w:p w14:paraId="7602893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旅游、体育、卫生健康、残联、红十字会等领域相关政策。 </w:t>
      </w:r>
    </w:p>
    <w:p w14:paraId="00F1C8C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承担扶贫相关工作。牵头推进“放管服”和“最多跑一次” </w:t>
      </w:r>
    </w:p>
    <w:p w14:paraId="103BD51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改革，统筹协调下放审批服务事项的承接工作。牵头负责便 </w:t>
      </w:r>
    </w:p>
    <w:p w14:paraId="4F8E61B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民服务平台工作。 </w:t>
      </w:r>
    </w:p>
    <w:p w14:paraId="3E904E5B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(四)平安建设办公室(应急管理办公室)负责平安建设 </w:t>
      </w:r>
    </w:p>
    <w:p w14:paraId="7E695F2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综合治理、维护稳定等工作。负责依法治街工作。协调开展 </w:t>
      </w:r>
    </w:p>
    <w:p w14:paraId="67E8729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邪教防范、法治宣传、社区戒毒、社区矫正、刑满释放人员 </w:t>
      </w:r>
    </w:p>
    <w:p w14:paraId="4962F07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安置帮教工作。指导督促辖区单位和居民落实消防、安全生 </w:t>
      </w:r>
    </w:p>
    <w:p w14:paraId="2070D0CD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产、食品安全等工作。受理人民群众来信来访，反映社情民 </w:t>
      </w:r>
    </w:p>
    <w:p w14:paraId="09B37BE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意，调处化解矛盾纠纷。组织协调相关部门共同解决辖区内 </w:t>
      </w:r>
    </w:p>
    <w:p w14:paraId="23D96FB5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的治安问题。负责辖区“多网合一”及网格建设管理工作。 </w:t>
      </w:r>
    </w:p>
    <w:p w14:paraId="32DF2A29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统筹辖区内城市、人口、社会等管理工作。负责应急体系建 </w:t>
      </w:r>
    </w:p>
    <w:p w14:paraId="35A9D742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设、应急响应和防灾减灾救灾相关工作。牵头负责社会治安 </w:t>
      </w:r>
    </w:p>
    <w:p w14:paraId="6E0947E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综合治理平台工作。 </w:t>
      </w:r>
    </w:p>
    <w:p w14:paraId="49813B43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(五)企业服务办公室。统筹协调辖区企业及其他市场主 </w:t>
      </w:r>
    </w:p>
    <w:p w14:paraId="3F2EFD7A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体联系服务工作，营造良好营商环境。承担辖区内工业、商 </w:t>
      </w:r>
    </w:p>
    <w:p w14:paraId="11F8478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贸、科技、统计等方面相关工作。 </w:t>
      </w:r>
    </w:p>
    <w:p w14:paraId="05D73340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(六)综合行政执法办公室。负责统筹协调组织指挥辖区 </w:t>
      </w:r>
    </w:p>
    <w:p w14:paraId="44CFE7FD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内派驻和基层执法力量实行联合执法，代表街道办事处履行 </w:t>
      </w:r>
    </w:p>
    <w:p w14:paraId="096FEB6B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规定范围内的行政执法职责。落实对上级职能部门派驻工作 </w:t>
      </w:r>
    </w:p>
    <w:p w14:paraId="2D1F5EB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力量的指挥调度和考核监督权。牵头负责综合行政执法平台 </w:t>
      </w:r>
    </w:p>
    <w:p w14:paraId="5276738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工作。 </w:t>
      </w:r>
    </w:p>
    <w:p w14:paraId="13F377CA">
      <w:pPr>
        <w:widowControl w:val="1"/>
        <w:keepNext w:val="0"/>
        <w:keepLines w:val="0"/>
        <w:jc w:val="left"/>
        <w:suppressLineNumbers w:val="0"/>
        <w:ind w:firstLine="620" w:firstLineChars="20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(七)城市建设管理办公室。统筹落实辖区发展的重大决 </w:t>
      </w:r>
    </w:p>
    <w:p w14:paraId="47FBE3E0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策和辖区建设规划，强化对涉及本区域内人民群众利益的重 </w:t>
      </w:r>
    </w:p>
    <w:p w14:paraId="07FCEB0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大决策、重大项目和公共服务设施布局的参与权和建议权， </w:t>
      </w:r>
    </w:p>
    <w:p w14:paraId="792067B3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推动辖区健康、有序、可持续发展。落实住房和城乡建设、 </w:t>
      </w:r>
    </w:p>
    <w:p w14:paraId="40BAED91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20"/>
          <w:lang w:val="en-US" w:eastAsia="zh-CN" w:bidi="ar"/>
          <w:kern w:val="0"/>
          <w:szCs w:val="20"/>
          <w:rFonts w:ascii="Times New Roman" w:hAnsi="Times New Roman" w:eastAsia="宋体" w:cs="Times New Roman" w:hint="default"/>
        </w:rPr>
        <w:t>9</w:t>
      </w: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生态环境保护、园林绿化、道路交通、人民防空、市容和环 </w:t>
      </w:r>
    </w:p>
    <w:p w14:paraId="04F18E3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境卫生管理等工作。负责基础设施养护和管理、防违控违拆 </w:t>
      </w:r>
    </w:p>
    <w:p w14:paraId="113E99A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违等工作。承担相关开发建设项目的征地拆迁和安置工作。 </w:t>
      </w:r>
    </w:p>
    <w:p w14:paraId="437387D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负责对辖区内物业服务企业的日常监管，对辖区住宅小区开 </w:t>
      </w:r>
    </w:p>
    <w:p w14:paraId="583A597C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展综合管理。按职责分工承担辖区内防汛抗旱等基础性工 </w:t>
      </w:r>
    </w:p>
    <w:p w14:paraId="5DD41D6F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作。街道人大、纪检(监察)、人武、工会、共青团、妇联等组织按有关规定设置并开展工作。 </w:t>
      </w:r>
    </w:p>
    <w:p w14:paraId="317E5D79">
      <w:pPr>
        <w:widowControl w:val="1"/>
        <w:keepNext w:val="0"/>
        <w:keepLines w:val="0"/>
        <w:jc w:val="left"/>
        <w:suppressLineNumbers w:val="0"/>
        <w:ind w:firstLine="620" w:firstLineChars="20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第五条明珠街道机关行政编制 28名。设党工委书记 1 </w:t>
      </w:r>
    </w:p>
    <w:p w14:paraId="6E39E817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名(正处长级)，人大工委主任 1 名(正处长级)，党工委副书 </w:t>
      </w:r>
    </w:p>
    <w:p w14:paraId="3BA58A1D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记、办事处主任 1 名(正处长级);党工委副书记 1 名(副处长级)，纪工委书记、监察室主任 1 名(副处长级)，办事处副主任 3 名(副处长级，其中 1 名兼任街道综合服务中心主任)。按有关规定设武装部长 1 名。科级领导职数 8 名(8 正，其中含纪工委副书记、监察室副主任 1 名)机关工勤事业编制按实有人数暂保留 1 名，退一收一，逐步消化。 </w:t>
      </w:r>
    </w:p>
    <w:p w14:paraId="061D38B0">
      <w:pPr>
        <w:widowControl w:val="1"/>
        <w:keepNext w:val="0"/>
        <w:keepLines w:val="0"/>
        <w:jc w:val="left"/>
        <w:suppressLineNumbers w:val="0"/>
        <w:ind w:firstLine="620" w:firstLineChars="20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第六条明珠街道党工委、办事处所属事业单位的设置、 </w:t>
      </w:r>
    </w:p>
    <w:p w14:paraId="527ABD7B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职责和编制事项另行规定。 </w:t>
      </w:r>
    </w:p>
    <w:p w14:paraId="6840024F">
      <w:pPr>
        <w:widowControl w:val="1"/>
        <w:keepNext w:val="0"/>
        <w:keepLines w:val="0"/>
        <w:jc w:val="left"/>
        <w:suppressLineNumbers w:val="0"/>
        <w:ind w:firstLine="620" w:firstLineChars="20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第七条 本规定由中共长春市南关区委负责解释，具体 </w:t>
      </w:r>
    </w:p>
    <w:p w14:paraId="03BF4B43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解释工作由中共长春市南关区委机构编制委员会办公室承 </w:t>
      </w:r>
    </w:p>
    <w:p w14:paraId="2ACEF277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担，其调整由中共长春市南关区委机构编制委员会办公室按 </w:t>
      </w:r>
    </w:p>
    <w:p w14:paraId="06B25794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规定程序办理。 </w:t>
      </w:r>
    </w:p>
    <w:p w14:paraId="538C0B19">
      <w:pPr>
        <w:widowControl w:val="1"/>
        <w:keepNext w:val="0"/>
        <w:keepLines w:val="0"/>
        <w:jc w:val="left"/>
        <w:suppressLineNumbers w:val="0"/>
        <w:ind w:firstLine="620" w:firstLineChars="20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第八条本规定自 2020 年 4 月 13 日起施行。 </w:t>
      </w:r>
    </w:p>
    <w:p w14:paraId="10B541A2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根据上述职责，长春市南关区明珠街道内设 7 个机构， </w:t>
      </w:r>
    </w:p>
    <w:p w14:paraId="302794AD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分别为综合办公室、党建工作办公室、社会事务办公室、平 </w:t>
      </w:r>
    </w:p>
    <w:p w14:paraId="288F6A5F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安建设办公室、企业服务办公室、综合行政执法办公室、城 </w:t>
      </w:r>
    </w:p>
    <w:p w14:paraId="77E3AF08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市建设管理办公室纳入长春市南关区明珠街道 2023年度部 </w:t>
      </w:r>
    </w:p>
    <w:p w14:paraId="1AD7CAAF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门决算编制范围的单位包括：长春市南关区明珠街道办事处 </w:t>
      </w:r>
    </w:p>
    <w:p w14:paraId="3E4E4E00">
      <w:pPr>
        <w:widowControl w:val="1"/>
        <w:keepNext w:val="0"/>
        <w:keepLines w:val="0"/>
        <w:jc w:val="left"/>
        <w:suppressLineNumbers w:val="0"/>
        <w:rPr>
          <w:color w:val="auto"/>
        </w:rPr>
      </w:pPr>
      <w:r>
        <w:rPr>
          <w:color w:val="auto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>本级</w:t>
      </w:r>
    </w:p>
    <w:p w14:paraId="50252182">
      <w:pPr>
        <w:pStyle w:val="2"/>
        <w:spacing w:line="446" w:lineRule="auto"/>
        <w:rPr>
          <w:color w:val="auto"/>
        </w:rPr>
      </w:pPr>
    </w:p>
    <w:p w14:paraId="18DECCFE">
      <w:pPr>
        <w:pStyle w:val="2"/>
        <w:spacing w:line="328" w:lineRule="auto"/>
        <w:rPr>
          <w:color w:val="auto"/>
        </w:rPr>
      </w:pPr>
    </w:p>
    <w:p w14:paraId="3B544612">
      <w:pPr>
        <w:pStyle w:val="2"/>
        <w:spacing w:line="328" w:lineRule="auto"/>
        <w:rPr>
          <w:color w:val="auto"/>
        </w:rPr>
      </w:pPr>
    </w:p>
    <w:p w14:paraId="592578E6">
      <w:pPr>
        <w:pStyle w:val="2"/>
        <w:spacing w:line="328" w:lineRule="auto"/>
        <w:rPr>
          <w:color w:val="auto"/>
        </w:rPr>
      </w:pPr>
    </w:p>
    <w:p w14:paraId="5D77F209">
      <w:pPr>
        <w:pStyle w:val="2"/>
        <w:spacing w:line="328" w:lineRule="auto"/>
        <w:rPr>
          <w:color w:val="auto"/>
        </w:rPr>
      </w:pPr>
    </w:p>
    <w:p w14:paraId="7D94D7B4">
      <w:pPr>
        <w:pStyle w:val="2"/>
        <w:spacing w:line="328" w:lineRule="auto"/>
        <w:rPr>
          <w:color w:val="auto"/>
        </w:rPr>
      </w:pPr>
    </w:p>
    <w:p w14:paraId="4D3511EE">
      <w:pPr>
        <w:pStyle w:val="2"/>
        <w:spacing w:line="328" w:lineRule="auto"/>
        <w:rPr>
          <w:color w:val="auto"/>
        </w:rPr>
      </w:pPr>
    </w:p>
    <w:p w14:paraId="04017B21">
      <w:pPr>
        <w:pStyle w:val="2"/>
        <w:spacing w:line="328" w:lineRule="auto"/>
        <w:rPr>
          <w:color w:val="auto"/>
        </w:rPr>
      </w:pPr>
    </w:p>
    <w:p w14:paraId="4660E4B2">
      <w:pPr>
        <w:pStyle w:val="2"/>
        <w:spacing w:line="328" w:lineRule="auto"/>
        <w:rPr>
          <w:color w:val="auto"/>
        </w:rPr>
      </w:pPr>
    </w:p>
    <w:p w14:paraId="259BE4E2">
      <w:pPr>
        <w:pStyle w:val="2"/>
        <w:spacing w:line="328" w:lineRule="auto"/>
        <w:rPr>
          <w:color w:val="auto"/>
        </w:rPr>
      </w:pPr>
    </w:p>
    <w:p w14:paraId="6ACE96DF">
      <w:pPr>
        <w:pStyle w:val="2"/>
        <w:spacing w:line="328" w:lineRule="auto"/>
        <w:rPr>
          <w:color w:val="auto"/>
        </w:rPr>
      </w:pPr>
    </w:p>
    <w:p w14:paraId="54A70729">
      <w:pPr>
        <w:pStyle w:val="2"/>
        <w:spacing w:line="328" w:lineRule="auto"/>
        <w:rPr>
          <w:color w:val="auto"/>
        </w:rPr>
      </w:pPr>
    </w:p>
    <w:p w14:paraId="763C1FD0">
      <w:pPr>
        <w:pStyle w:val="2"/>
        <w:spacing w:line="328" w:lineRule="auto"/>
        <w:rPr>
          <w:color w:val="auto"/>
        </w:rPr>
      </w:pPr>
    </w:p>
    <w:p w14:paraId="02E61574">
      <w:pPr>
        <w:pStyle w:val="2"/>
        <w:spacing w:line="328" w:lineRule="auto"/>
        <w:rPr>
          <w:color w:val="auto"/>
        </w:rPr>
      </w:pPr>
    </w:p>
    <w:p w14:paraId="6E2E1E6E">
      <w:pPr>
        <w:pStyle w:val="2"/>
        <w:spacing w:line="328" w:lineRule="auto"/>
        <w:rPr>
          <w:color w:val="auto"/>
        </w:rPr>
      </w:pPr>
    </w:p>
    <w:p w14:paraId="1E17829F">
      <w:pPr>
        <w:pStyle w:val="2"/>
        <w:spacing w:line="328" w:lineRule="auto"/>
        <w:rPr>
          <w:color w:val="auto"/>
        </w:rPr>
      </w:pPr>
    </w:p>
    <w:p w14:paraId="171265BE">
      <w:pPr>
        <w:pStyle w:val="2"/>
        <w:spacing w:line="328" w:lineRule="auto"/>
        <w:rPr>
          <w:color w:val="auto"/>
        </w:rPr>
      </w:pPr>
    </w:p>
    <w:p w14:paraId="71D44AC2">
      <w:pPr>
        <w:pStyle w:val="2"/>
        <w:spacing w:line="328" w:lineRule="auto"/>
        <w:rPr>
          <w:color w:val="auto"/>
        </w:rPr>
      </w:pPr>
    </w:p>
    <w:p w14:paraId="3A52A025">
      <w:pPr>
        <w:pStyle w:val="2"/>
        <w:spacing w:line="328" w:lineRule="auto"/>
        <w:rPr>
          <w:color w:val="auto"/>
        </w:rPr>
      </w:pPr>
    </w:p>
    <w:p w14:paraId="315AF9EB">
      <w:pPr>
        <w:pStyle w:val="2"/>
        <w:spacing w:line="328" w:lineRule="auto"/>
        <w:rPr>
          <w:color w:val="auto"/>
        </w:rPr>
      </w:pPr>
    </w:p>
    <w:p w14:paraId="72CD064B">
      <w:pPr>
        <w:pStyle w:val="2"/>
        <w:spacing w:line="328" w:lineRule="auto"/>
        <w:rPr>
          <w:color w:val="auto"/>
        </w:rPr>
      </w:pPr>
    </w:p>
    <w:p w14:paraId="3BEE91AC">
      <w:pPr>
        <w:pStyle w:val="2"/>
        <w:spacing w:line="328" w:lineRule="auto"/>
        <w:rPr>
          <w:color w:val="auto"/>
        </w:rPr>
      </w:pPr>
    </w:p>
    <w:p w14:paraId="2B35F442">
      <w:pPr>
        <w:pStyle w:val="2"/>
        <w:spacing w:line="328" w:lineRule="auto"/>
        <w:rPr>
          <w:color w:val="auto"/>
        </w:rPr>
      </w:pPr>
    </w:p>
    <w:p w14:paraId="0E2B3C46">
      <w:pPr>
        <w:pStyle w:val="2"/>
        <w:spacing w:line="328" w:lineRule="auto"/>
      </w:pPr>
    </w:p>
    <w:p w14:paraId="18ABF8B3">
      <w:pPr>
        <w:numPr>
          <w:ilvl w:val="0"/>
          <w:numId w:val="1"/>
        </w:numPr>
        <w:spacing w:before="189" w:line="186" w:lineRule="auto"/>
        <w:ind w:left="1142"/>
        <w:rPr>
          <w:sz w:val="44"/>
          <w:szCs w:val="44"/>
          <w:rFonts w:ascii="微软雅黑" w:hAnsi="微软雅黑" w:eastAsia="微软雅黑" w:cs="微软雅黑"/>
        </w:rPr>
      </w:pPr>
      <w:r>
        <w:rPr>
          <w:sz w:val="43"/>
          <w:szCs w:val="43"/>
          <w:rFonts w:ascii="宋体" w:hAnsi="宋体" w:eastAsia="宋体" w:cs="宋体"/>
        </w:rPr>
        <w:t>2023</w:t>
      </w:r>
      <w:r>
        <w:rPr>
          <w:spacing w:val="-103"/>
          <w:sz w:val="43"/>
          <w:szCs w:val="43"/>
          <w:rFonts w:ascii="宋体" w:hAnsi="宋体" w:eastAsia="宋体" w:cs="宋体"/>
        </w:rPr>
        <w:t xml:space="preserve"> </w:t>
      </w:r>
      <w:r>
        <w:rPr>
          <w:sz w:val="44"/>
          <w:szCs w:val="44"/>
          <w:rFonts w:ascii="微软雅黑" w:hAnsi="微软雅黑" w:eastAsia="微软雅黑" w:cs="微软雅黑"/>
        </w:rPr>
        <w:t>年度部门决算表</w:t>
      </w:r>
    </w:p>
    <w:p w14:paraId="6CEF1667">
      <w:pPr>
        <w:spacing w:before="100" w:line="224" w:lineRule="auto"/>
        <w:ind w:left="672"/>
        <w:rPr>
          <w:sz w:val="31"/>
          <w:szCs w:val="31"/>
          <w:rFonts w:ascii="黑体" w:hAnsi="黑体" w:eastAsia="黑体" w:cs="黑体"/>
        </w:rPr>
      </w:pPr>
      <w:r>
        <w:rPr>
          <w:spacing w:val="7"/>
          <w:sz w:val="31"/>
          <w:szCs w:val="31"/>
          <w:rFonts w:ascii="黑体" w:hAnsi="黑体" w:eastAsia="黑体" w:cs="黑体"/>
        </w:rPr>
        <w:t>一、收入支出决算总表</w:t>
      </w:r>
    </w:p>
    <w:p w14:paraId="77837B0B">
      <w:pPr>
        <w:numPr>
          <w:ilvl w:val="0"/>
          <w:numId w:val="0"/>
        </w:numPr>
        <w:spacing w:before="189" w:line="186" w:lineRule="auto"/>
        <w:rPr>
          <w:sz w:val="44"/>
          <w:szCs w:val="44"/>
          <w:rFonts w:ascii="微软雅黑" w:hAnsi="微软雅黑" w:eastAsia="微软雅黑" w:cs="微软雅黑"/>
        </w:rPr>
      </w:pPr>
    </w:p>
    <w:p w14:paraId="0909B638">
      <w:pPr>
        <w:pStyle w:val="2"/>
        <w:spacing w:line="268" w:lineRule="auto"/>
      </w:pPr>
      <w:r>
        <w:drawing>
          <wp:inline distT="0" distB="0" distL="114300" distR="114300">
            <wp:extent cx="5659755" cy="5161280"/>
            <wp:effectExtent l="0" t="0" r="17145" b="12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59755" cy="51612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0F34F76F">
      <w:pPr>
        <w:pStyle w:val="2"/>
        <w:spacing w:line="268" w:lineRule="auto"/>
      </w:pPr>
    </w:p>
    <w:p w14:paraId="249825A3">
      <w:pPr>
        <w:pStyle w:val="2"/>
        <w:spacing w:line="268" w:lineRule="auto"/>
      </w:pPr>
    </w:p>
    <w:p w14:paraId="1E1FC4B3">
      <w:pPr>
        <w:pStyle w:val="2"/>
        <w:spacing w:line="337" w:lineRule="auto"/>
      </w:pPr>
    </w:p>
    <w:p w14:paraId="29FB94B5">
      <w:pPr>
        <w:pStyle w:val="2"/>
        <w:spacing w:line="338" w:lineRule="auto"/>
      </w:pPr>
    </w:p>
    <w:p w14:paraId="7FC11D7E">
      <w:pPr>
        <w:pStyle w:val="2"/>
        <w:spacing w:line="339" w:lineRule="auto"/>
      </w:pPr>
    </w:p>
    <w:p w14:paraId="6165ACA9">
      <w:pPr>
        <w:pStyle w:val="2"/>
        <w:spacing w:line="340" w:lineRule="auto"/>
      </w:pPr>
    </w:p>
    <w:p w14:paraId="3F3F65F1">
      <w:pPr>
        <w:spacing w:before="101" w:line="224" w:lineRule="auto"/>
        <w:ind w:left="672"/>
        <w:rPr>
          <w:spacing w:val="7"/>
          <w:sz w:val="31"/>
          <w:szCs w:val="31"/>
          <w:rFonts w:ascii="黑体" w:hAnsi="黑体" w:eastAsia="黑体" w:cs="黑体"/>
        </w:rPr>
      </w:pPr>
    </w:p>
    <w:p w14:paraId="32580554">
      <w:pPr>
        <w:spacing w:before="101" w:line="224" w:lineRule="auto"/>
        <w:ind w:left="672"/>
        <w:rPr>
          <w:spacing w:val="7"/>
          <w:sz w:val="31"/>
          <w:szCs w:val="31"/>
          <w:rFonts w:ascii="黑体" w:hAnsi="黑体" w:eastAsia="黑体" w:cs="黑体"/>
        </w:rPr>
      </w:pPr>
    </w:p>
    <w:p w14:paraId="099E0723">
      <w:pPr>
        <w:spacing w:before="101" w:line="224" w:lineRule="auto"/>
        <w:ind w:left="672"/>
        <w:rPr>
          <w:spacing w:val="7"/>
          <w:sz w:val="31"/>
          <w:szCs w:val="31"/>
          <w:rFonts w:ascii="黑体" w:hAnsi="黑体" w:eastAsia="黑体" w:cs="黑体"/>
        </w:rPr>
      </w:pPr>
    </w:p>
    <w:p w14:paraId="0836D847">
      <w:pPr>
        <w:spacing w:before="101" w:line="224" w:lineRule="auto"/>
        <w:ind w:left="672"/>
        <w:rPr>
          <w:spacing w:val="7"/>
          <w:sz w:val="31"/>
          <w:szCs w:val="31"/>
          <w:rFonts w:ascii="黑体" w:hAnsi="黑体" w:eastAsia="黑体" w:cs="黑体"/>
        </w:rPr>
      </w:pPr>
    </w:p>
    <w:p w14:paraId="7D4B4BA3">
      <w:pPr>
        <w:spacing w:before="101" w:line="224" w:lineRule="auto"/>
        <w:ind w:left="672"/>
        <w:rPr>
          <w:sz w:val="31"/>
          <w:szCs w:val="31"/>
          <w:rFonts w:ascii="黑体" w:hAnsi="黑体" w:eastAsia="黑体" w:cs="黑体"/>
        </w:rPr>
      </w:pPr>
      <w:r>
        <w:rPr>
          <w:spacing w:val="7"/>
          <w:sz w:val="31"/>
          <w:szCs w:val="31"/>
          <w:rFonts w:ascii="黑体" w:hAnsi="黑体" w:eastAsia="黑体" w:cs="黑体"/>
        </w:rPr>
        <w:t>二、收入决算表</w:t>
      </w:r>
    </w:p>
    <w:p w14:paraId="460B96FE">
      <w:pPr>
        <w:pStyle w:val="2"/>
        <w:spacing w:line="261" w:lineRule="auto"/>
      </w:pPr>
    </w:p>
    <w:p w14:paraId="69BAF173">
      <w:pPr>
        <w:pStyle w:val="2"/>
        <w:spacing w:line="261" w:lineRule="auto"/>
      </w:pPr>
    </w:p>
    <w:p w14:paraId="5042507F">
      <w:pPr>
        <w:pStyle w:val="2"/>
        <w:spacing w:line="262" w:lineRule="auto"/>
      </w:pPr>
      <w:r>
        <w:drawing>
          <wp:inline distT="0" distB="0" distL="114300" distR="114300">
            <wp:extent cx="5592445" cy="4767580"/>
            <wp:effectExtent l="0" t="0" r="8255" b="139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2445" cy="47675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0756ABB1">
      <w:pPr>
        <w:pStyle w:val="2"/>
        <w:spacing w:line="339" w:lineRule="auto"/>
      </w:pPr>
    </w:p>
    <w:p w14:paraId="0C362A41">
      <w:pPr>
        <w:pStyle w:val="2"/>
        <w:spacing w:line="339" w:lineRule="auto"/>
      </w:pPr>
    </w:p>
    <w:p w14:paraId="05853AF0">
      <w:pPr>
        <w:pStyle w:val="2"/>
        <w:spacing w:line="339" w:lineRule="auto"/>
      </w:pPr>
    </w:p>
    <w:p w14:paraId="3B530724">
      <w:pPr>
        <w:pStyle w:val="2"/>
        <w:spacing w:line="339" w:lineRule="auto"/>
      </w:pPr>
    </w:p>
    <w:p w14:paraId="4C421219">
      <w:pPr>
        <w:pStyle w:val="2"/>
        <w:spacing w:line="339" w:lineRule="auto"/>
      </w:pPr>
    </w:p>
    <w:p w14:paraId="6BEE46EC">
      <w:pPr>
        <w:pStyle w:val="2"/>
        <w:spacing w:line="339" w:lineRule="auto"/>
      </w:pPr>
    </w:p>
    <w:p w14:paraId="1A891CC2">
      <w:pPr>
        <w:pStyle w:val="2"/>
        <w:spacing w:line="339" w:lineRule="auto"/>
      </w:pPr>
    </w:p>
    <w:p w14:paraId="6FA74A0E">
      <w:pPr>
        <w:pStyle w:val="2"/>
        <w:spacing w:line="339" w:lineRule="auto"/>
      </w:pPr>
    </w:p>
    <w:p w14:paraId="12E0A651">
      <w:pPr>
        <w:pStyle w:val="2"/>
        <w:spacing w:line="339" w:lineRule="auto"/>
      </w:pPr>
    </w:p>
    <w:p w14:paraId="5AF8F0D5">
      <w:pPr>
        <w:pStyle w:val="2"/>
        <w:spacing w:line="339" w:lineRule="auto"/>
      </w:pPr>
    </w:p>
    <w:p w14:paraId="0D828CEC">
      <w:pPr>
        <w:pStyle w:val="2"/>
        <w:spacing w:line="339" w:lineRule="auto"/>
      </w:pPr>
    </w:p>
    <w:p w14:paraId="1ED69CC0">
      <w:pPr>
        <w:pStyle w:val="2"/>
        <w:spacing w:line="339" w:lineRule="auto"/>
      </w:pPr>
    </w:p>
    <w:p w14:paraId="69E236A5">
      <w:pPr>
        <w:pStyle w:val="2"/>
        <w:spacing w:line="339" w:lineRule="auto"/>
      </w:pPr>
    </w:p>
    <w:p w14:paraId="029DB538">
      <w:pPr>
        <w:pStyle w:val="2"/>
        <w:spacing w:line="339" w:lineRule="auto"/>
      </w:pPr>
    </w:p>
    <w:p w14:paraId="28E129FC">
      <w:pPr>
        <w:pStyle w:val="2"/>
        <w:spacing w:line="339" w:lineRule="auto"/>
      </w:pPr>
    </w:p>
    <w:p w14:paraId="0BCD1AC4">
      <w:pPr>
        <w:pStyle w:val="2"/>
        <w:spacing w:line="339" w:lineRule="auto"/>
      </w:pPr>
    </w:p>
    <w:p w14:paraId="4CD17F64">
      <w:pPr>
        <w:pStyle w:val="2"/>
        <w:spacing w:line="339" w:lineRule="auto"/>
      </w:pPr>
    </w:p>
    <w:p w14:paraId="4B87A9D2">
      <w:pPr>
        <w:pStyle w:val="2"/>
        <w:spacing w:line="339" w:lineRule="auto"/>
      </w:pPr>
    </w:p>
    <w:p w14:paraId="60D9DAFA">
      <w:pPr>
        <w:pStyle w:val="2"/>
        <w:spacing w:line="339" w:lineRule="auto"/>
      </w:pPr>
    </w:p>
    <w:p w14:paraId="2FBC83E6">
      <w:pPr>
        <w:numPr>
          <w:ilvl w:val="0"/>
          <w:numId w:val="2"/>
        </w:numPr>
        <w:spacing w:before="101" w:line="224" w:lineRule="auto"/>
      </w:pPr>
      <w:r>
        <w:rPr>
          <w:spacing w:val="7"/>
          <w:sz w:val="31"/>
          <w:szCs w:val="31"/>
          <w:rFonts w:ascii="黑体" w:hAnsi="黑体" w:eastAsia="黑体" w:cs="黑体"/>
        </w:rPr>
        <w:t>支出决算表</w:t>
      </w:r>
      <w:r>
        <w:drawing>
          <wp:inline distT="0" distB="0" distL="114300" distR="114300">
            <wp:extent cx="5728335" cy="5807075"/>
            <wp:effectExtent l="0" t="0" r="5715" b="317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28335" cy="58070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2E6FDBC2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10C371F0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4FC8C44D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6AB6B02D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1882A061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1140BD93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6E39C64C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328AAE19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20FD311D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29A9CA42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12321357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018AD852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</w:pPr>
    </w:p>
    <w:p w14:paraId="7BC6C8A2">
      <w:pPr>
        <w:pStyle w:val="2"/>
        <w:spacing w:line="340" w:lineRule="auto"/>
      </w:pPr>
    </w:p>
    <w:p w14:paraId="1E133044">
      <w:pPr>
        <w:numPr>
          <w:ilvl w:val="0"/>
          <w:numId w:val="2"/>
        </w:numPr>
        <w:spacing w:before="101" w:line="224" w:lineRule="auto"/>
        <w:ind w:firstLine="0" w:firstLineChars="0" w:left="0" w:leftChars="0"/>
        <w:rPr>
          <w:spacing w:val="7"/>
          <w:sz w:val="31"/>
          <w:szCs w:val="31"/>
          <w:rFonts w:ascii="黑体" w:hAnsi="黑体" w:eastAsia="黑体" w:cs="黑体"/>
        </w:rPr>
      </w:pPr>
      <w:r>
        <w:rPr>
          <w:spacing w:val="7"/>
          <w:sz w:val="31"/>
          <w:szCs w:val="31"/>
          <w:rFonts w:ascii="黑体" w:hAnsi="黑体" w:eastAsia="黑体" w:cs="黑体"/>
        </w:rPr>
        <w:t>财政拨款收入支出决算总表</w:t>
      </w:r>
    </w:p>
    <w:p w14:paraId="2FDF660F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6AEF4AFA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67336CA8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  <w:r>
        <w:drawing>
          <wp:inline distT="0" distB="0" distL="114300" distR="114300">
            <wp:extent cx="5870575" cy="5041265"/>
            <wp:effectExtent l="0" t="0" r="15875" b="698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70575" cy="50412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14F85A84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0AFA2104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5DE263F6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5D47950B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539766A7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774EE5F2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6BD814E5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1" w:line="224" w:lineRule="auto"/>
        <w:rPr>
          <w:spacing w:val="7"/>
          <w:sz w:val="31"/>
          <w:szCs w:val="31"/>
          <w:rFonts w:ascii="黑体" w:hAnsi="黑体" w:eastAsia="黑体" w:cs="黑体"/>
        </w:rPr>
      </w:pPr>
    </w:p>
    <w:p w14:paraId="673006AB">
      <w:pPr>
        <w:spacing w:line="224" w:lineRule="auto"/>
        <w:rPr>
          <w:sz w:val="31"/>
          <w:szCs w:val="31"/>
          <w:rFonts w:ascii="仿宋" w:hAnsi="仿宋" w:eastAsia="仿宋" w:cs="仿宋"/>
        </w:rPr>
        <w:sectPr>
          <w:footerReference r:id="rId10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134973C">
      <w:pPr>
        <w:pStyle w:val="2"/>
        <w:spacing w:line="339" w:lineRule="auto"/>
      </w:pPr>
    </w:p>
    <w:p w14:paraId="6582BBCA">
      <w:pPr>
        <w:pStyle w:val="2"/>
        <w:spacing w:line="339" w:lineRule="auto"/>
      </w:pPr>
    </w:p>
    <w:p w14:paraId="77965129">
      <w:pPr>
        <w:numPr>
          <w:ilvl w:val="0"/>
          <w:numId w:val="2"/>
        </w:numPr>
        <w:spacing w:before="100" w:line="224" w:lineRule="auto"/>
        <w:ind w:firstLine="0" w:firstLineChars="0" w:left="0" w:leftChars="0"/>
        <w:rPr>
          <w:spacing w:val="8"/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一般公共预算财政拨款支出决算表</w:t>
      </w:r>
    </w:p>
    <w:p w14:paraId="02A1BCE6">
      <w:pPr>
        <w:numPr>
          <w:ilvl w:val="0"/>
          <w:numId w:val="0"/>
        </w:numPr>
        <w:spacing w:before="100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</w:p>
    <w:p w14:paraId="5CD8A18E">
      <w:pPr>
        <w:numPr>
          <w:ilvl w:val="0"/>
          <w:numId w:val="0"/>
        </w:numPr>
        <w:spacing w:before="100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  <w:r>
        <w:drawing>
          <wp:inline distT="0" distB="0" distL="114300" distR="114300">
            <wp:extent cx="5709920" cy="5429250"/>
            <wp:effectExtent l="0" t="0" r="5080" b="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09920" cy="54292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3415EBF0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66F7524C">
      <w:pPr>
        <w:pStyle w:val="2"/>
        <w:spacing w:line="268" w:lineRule="auto"/>
      </w:pPr>
    </w:p>
    <w:p w14:paraId="4940372E">
      <w:pPr>
        <w:pStyle w:val="2"/>
        <w:spacing w:line="268" w:lineRule="auto"/>
      </w:pPr>
    </w:p>
    <w:p w14:paraId="278BCA86">
      <w:pPr>
        <w:pStyle w:val="2"/>
        <w:spacing w:line="268" w:lineRule="auto"/>
      </w:pPr>
    </w:p>
    <w:p w14:paraId="78387470">
      <w:pPr>
        <w:pStyle w:val="2"/>
        <w:spacing w:line="268" w:lineRule="auto"/>
      </w:pPr>
    </w:p>
    <w:p w14:paraId="07DF414B">
      <w:pPr>
        <w:pStyle w:val="2"/>
        <w:spacing w:line="268" w:lineRule="auto"/>
      </w:pPr>
    </w:p>
    <w:p w14:paraId="1FF01E1B">
      <w:pPr>
        <w:pStyle w:val="2"/>
        <w:spacing w:line="268" w:lineRule="auto"/>
      </w:pPr>
    </w:p>
    <w:p w14:paraId="2EC53B2A">
      <w:pPr>
        <w:pStyle w:val="2"/>
        <w:spacing w:line="268" w:lineRule="auto"/>
      </w:pPr>
    </w:p>
    <w:p w14:paraId="40F9A54A">
      <w:pPr>
        <w:pStyle w:val="2"/>
        <w:spacing w:line="268" w:lineRule="auto"/>
      </w:pPr>
    </w:p>
    <w:p w14:paraId="7161F714">
      <w:pPr>
        <w:pStyle w:val="2"/>
        <w:spacing w:line="268" w:lineRule="auto"/>
      </w:pPr>
    </w:p>
    <w:p w14:paraId="3DDB42D0">
      <w:pPr>
        <w:pStyle w:val="2"/>
        <w:spacing w:line="268" w:lineRule="auto"/>
      </w:pPr>
    </w:p>
    <w:p w14:paraId="7545D691">
      <w:pPr>
        <w:pStyle w:val="2"/>
        <w:spacing w:line="268" w:lineRule="auto"/>
      </w:pPr>
    </w:p>
    <w:p w14:paraId="582D41A5">
      <w:pPr>
        <w:pStyle w:val="2"/>
        <w:spacing w:line="268" w:lineRule="auto"/>
      </w:pPr>
    </w:p>
    <w:p w14:paraId="60FB504D">
      <w:pPr>
        <w:pStyle w:val="2"/>
        <w:spacing w:line="268" w:lineRule="auto"/>
      </w:pPr>
    </w:p>
    <w:p w14:paraId="1F954EB2">
      <w:pPr>
        <w:pStyle w:val="2"/>
        <w:spacing w:line="268" w:lineRule="auto"/>
      </w:pPr>
    </w:p>
    <w:p w14:paraId="716F8388">
      <w:pPr>
        <w:pStyle w:val="2"/>
        <w:spacing w:line="339" w:lineRule="auto"/>
      </w:pPr>
    </w:p>
    <w:p w14:paraId="2135CF6E">
      <w:pPr>
        <w:numPr>
          <w:ilvl w:val="0"/>
          <w:numId w:val="2"/>
        </w:numPr>
        <w:spacing w:before="100" w:line="224" w:lineRule="auto"/>
        <w:ind w:firstLine="0" w:firstLineChars="0" w:left="0" w:leftChars="0"/>
        <w:rPr>
          <w:spacing w:val="8"/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一般公共预算财政拨款基本支出决算明细表</w:t>
      </w:r>
    </w:p>
    <w:p w14:paraId="0BD4429F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0A5DBA9A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771C6142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762C9DED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  <w:r>
        <w:drawing>
          <wp:inline distT="0" distB="0" distL="114300" distR="114300">
            <wp:extent cx="5645150" cy="4897755"/>
            <wp:effectExtent l="0" t="0" r="12700" b="1714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45150" cy="489775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2EE43E89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116F790E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32642A9B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7607389F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17BC31C8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214AC425">
      <w:pPr>
        <w:kinsoku w:val="0"/>
        <w:autoSpaceDE w:val="0"/>
        <w:autoSpaceDN w:val="0"/>
        <w:adjustRightInd w:val="0"/>
        <w:snapToGrid w:val="0"/>
        <w:jc w:val="left"/>
        <w:numPr>
          <w:ilvl w:val="0"/>
          <w:numId w:val="0"/>
        </w:numPr>
        <w:spacing w:before="100" w:line="224" w:lineRule="auto"/>
        <w:rPr>
          <w:spacing w:val="8"/>
          <w:sz w:val="31"/>
          <w:szCs w:val="31"/>
          <w:rFonts w:ascii="黑体" w:hAnsi="黑体" w:eastAsia="黑体" w:cs="黑体"/>
        </w:rPr>
      </w:pPr>
    </w:p>
    <w:p w14:paraId="267E68EC">
      <w:pPr>
        <w:pStyle w:val="2"/>
        <w:spacing w:line="339" w:lineRule="auto"/>
      </w:pPr>
    </w:p>
    <w:p w14:paraId="78DBCB00">
      <w:pPr>
        <w:pStyle w:val="2"/>
        <w:spacing w:line="340" w:lineRule="auto"/>
      </w:pPr>
    </w:p>
    <w:p w14:paraId="045AE6E4">
      <w:pPr>
        <w:numPr>
          <w:ilvl w:val="0"/>
          <w:numId w:val="2"/>
        </w:numPr>
        <w:spacing w:before="101" w:line="224" w:lineRule="auto"/>
        <w:ind w:firstLine="0" w:firstLineChars="0" w:left="0" w:leftChars="0"/>
        <w:rPr>
          <w:spacing w:val="8"/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政府性基金预算财政拨款收入支出决算表</w:t>
      </w:r>
    </w:p>
    <w:p w14:paraId="3E2E8618">
      <w:pPr>
        <w:numPr>
          <w:ilvl w:val="0"/>
          <w:numId w:val="0"/>
        </w:numPr>
        <w:spacing w:before="101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</w:p>
    <w:p w14:paraId="48B9189A">
      <w:pPr>
        <w:numPr>
          <w:ilvl w:val="0"/>
          <w:numId w:val="0"/>
        </w:numPr>
        <w:spacing w:before="101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</w:p>
    <w:p w14:paraId="0E48E2BC">
      <w:pPr>
        <w:numPr>
          <w:ilvl w:val="0"/>
          <w:numId w:val="0"/>
        </w:numPr>
        <w:spacing w:before="101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</w:p>
    <w:p w14:paraId="273CACAA">
      <w:pPr>
        <w:numPr>
          <w:ilvl w:val="0"/>
          <w:numId w:val="0"/>
        </w:numPr>
        <w:spacing w:before="101" w:line="224" w:lineRule="auto"/>
        <w:ind w:leftChars="0"/>
        <w:rPr>
          <w:spacing w:val="8"/>
          <w:sz w:val="31"/>
          <w:szCs w:val="31"/>
          <w:rFonts w:ascii="黑体" w:hAnsi="黑体" w:eastAsia="黑体" w:cs="黑体"/>
        </w:rPr>
      </w:pPr>
    </w:p>
    <w:p w14:paraId="113EE982">
      <w:pPr>
        <w:spacing w:before="235" w:line="4714" w:lineRule="exact"/>
        <w:ind w:firstLine="240"/>
      </w:pPr>
      <w:r>
        <w:drawing>
          <wp:inline distT="0" distB="0" distL="114300" distR="114300">
            <wp:extent cx="5920740" cy="2498725"/>
            <wp:effectExtent l="0" t="0" r="3810" b="15875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24987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53D08AD7">
      <w:pPr>
        <w:spacing w:before="235" w:line="4714" w:lineRule="exact"/>
        <w:ind w:firstLine="240"/>
      </w:pPr>
    </w:p>
    <w:p w14:paraId="7E1581FB">
      <w:pPr>
        <w:spacing w:before="235" w:line="4714" w:lineRule="exact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八、国有资本经营预算财政拨款支出决算表</w:t>
      </w:r>
    </w:p>
    <w:p w14:paraId="08644FC3">
      <w:pPr>
        <w:spacing w:before="182" w:line="4817" w:lineRule="exact"/>
        <w:ind w:firstLine="28"/>
      </w:pPr>
      <w:r>
        <w:drawing>
          <wp:inline distT="0" distB="0" distL="114300" distR="114300">
            <wp:extent cx="5289550" cy="2960370"/>
            <wp:effectExtent l="0" t="0" r="6350" b="1143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29603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163DACC9">
      <w:pPr>
        <w:pStyle w:val="2"/>
        <w:spacing w:line="253" w:lineRule="auto"/>
      </w:pPr>
    </w:p>
    <w:p w14:paraId="79616F82">
      <w:pPr>
        <w:pStyle w:val="2"/>
        <w:spacing w:line="253" w:lineRule="auto"/>
      </w:pPr>
    </w:p>
    <w:p w14:paraId="21A7B17B">
      <w:pPr>
        <w:pStyle w:val="2"/>
        <w:spacing w:line="253" w:lineRule="auto"/>
      </w:pPr>
    </w:p>
    <w:p w14:paraId="0C969F9F">
      <w:pPr>
        <w:pStyle w:val="2"/>
        <w:spacing w:line="339" w:lineRule="auto"/>
      </w:pPr>
    </w:p>
    <w:p w14:paraId="434A86DD">
      <w:pPr>
        <w:pStyle w:val="2"/>
        <w:spacing w:line="339" w:lineRule="auto"/>
      </w:pPr>
    </w:p>
    <w:p w14:paraId="77A54B4A">
      <w:pPr>
        <w:pStyle w:val="2"/>
        <w:spacing w:line="339" w:lineRule="auto"/>
      </w:pPr>
    </w:p>
    <w:p w14:paraId="15451F72">
      <w:pPr>
        <w:pStyle w:val="2"/>
        <w:spacing w:line="339" w:lineRule="auto"/>
      </w:pPr>
    </w:p>
    <w:p w14:paraId="2A61D782">
      <w:pPr>
        <w:pStyle w:val="2"/>
        <w:spacing w:line="339" w:lineRule="auto"/>
      </w:pPr>
    </w:p>
    <w:p w14:paraId="6EDFE25D">
      <w:pPr>
        <w:pStyle w:val="2"/>
        <w:spacing w:line="339" w:lineRule="auto"/>
      </w:pPr>
    </w:p>
    <w:p w14:paraId="595C2FD5">
      <w:pPr>
        <w:pStyle w:val="2"/>
        <w:spacing w:line="339" w:lineRule="auto"/>
      </w:pPr>
    </w:p>
    <w:p w14:paraId="5D73D7E5">
      <w:pPr>
        <w:pStyle w:val="2"/>
        <w:spacing w:line="339" w:lineRule="auto"/>
      </w:pPr>
    </w:p>
    <w:p w14:paraId="6044DE5A">
      <w:pPr>
        <w:pStyle w:val="2"/>
        <w:spacing w:line="339" w:lineRule="auto"/>
      </w:pPr>
    </w:p>
    <w:p w14:paraId="78739A0D">
      <w:pPr>
        <w:pStyle w:val="2"/>
        <w:spacing w:line="340" w:lineRule="auto"/>
      </w:pPr>
    </w:p>
    <w:p w14:paraId="3D640CD7">
      <w:pPr>
        <w:spacing w:before="101" w:line="224" w:lineRule="auto"/>
        <w:ind w:left="675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九、财政拨款“三公”经费支出决算表</w:t>
      </w:r>
    </w:p>
    <w:p w14:paraId="511FA8D0">
      <w:pPr>
        <w:spacing w:before="96" w:line="5302" w:lineRule="exact"/>
        <w:ind w:firstLine="237"/>
      </w:pPr>
      <w:r>
        <w:drawing>
          <wp:inline distT="0" distB="0" distL="114300" distR="114300">
            <wp:extent cx="5288280" cy="1567815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23"/>
                    <a:srcRect t="5511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156781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71CF4ABF">
      <w:pPr>
        <w:pStyle w:val="2"/>
        <w:spacing w:line="339" w:lineRule="auto"/>
      </w:pPr>
    </w:p>
    <w:p w14:paraId="368F5294">
      <w:pPr>
        <w:pStyle w:val="2"/>
        <w:spacing w:line="339" w:lineRule="auto"/>
      </w:pPr>
    </w:p>
    <w:p w14:paraId="480087BE">
      <w:pPr>
        <w:pStyle w:val="2"/>
        <w:spacing w:line="339" w:lineRule="auto"/>
      </w:pPr>
    </w:p>
    <w:p w14:paraId="2629B458">
      <w:pPr>
        <w:pStyle w:val="2"/>
        <w:spacing w:line="339" w:lineRule="auto"/>
      </w:pPr>
    </w:p>
    <w:p w14:paraId="17BAB208">
      <w:pPr>
        <w:pStyle w:val="2"/>
        <w:spacing w:line="339" w:lineRule="auto"/>
      </w:pPr>
    </w:p>
    <w:p w14:paraId="0EA5BA40">
      <w:pPr>
        <w:pStyle w:val="2"/>
        <w:spacing w:line="339" w:lineRule="auto"/>
      </w:pPr>
    </w:p>
    <w:p w14:paraId="44523E90">
      <w:pPr>
        <w:pStyle w:val="2"/>
        <w:spacing w:line="339" w:lineRule="auto"/>
      </w:pPr>
    </w:p>
    <w:p w14:paraId="17CE7358">
      <w:pPr>
        <w:pStyle w:val="2"/>
        <w:spacing w:line="339" w:lineRule="auto"/>
      </w:pPr>
    </w:p>
    <w:p w14:paraId="281B2B19">
      <w:pPr>
        <w:pStyle w:val="2"/>
        <w:spacing w:line="339" w:lineRule="auto"/>
      </w:pPr>
    </w:p>
    <w:p w14:paraId="32778FF3">
      <w:pPr>
        <w:pStyle w:val="2"/>
        <w:spacing w:line="339" w:lineRule="auto"/>
      </w:pPr>
    </w:p>
    <w:p w14:paraId="3FDAE08F">
      <w:pPr>
        <w:pStyle w:val="2"/>
        <w:spacing w:line="339" w:lineRule="auto"/>
      </w:pPr>
    </w:p>
    <w:p w14:paraId="2F8ED58C">
      <w:pPr>
        <w:pStyle w:val="2"/>
        <w:spacing w:line="339" w:lineRule="auto"/>
      </w:pPr>
    </w:p>
    <w:p w14:paraId="20B56318">
      <w:pPr>
        <w:pStyle w:val="2"/>
        <w:spacing w:line="339" w:lineRule="auto"/>
      </w:pPr>
    </w:p>
    <w:p w14:paraId="5AF577A8">
      <w:pPr>
        <w:pStyle w:val="2"/>
        <w:spacing w:line="339" w:lineRule="auto"/>
      </w:pPr>
    </w:p>
    <w:p w14:paraId="7FA0B0A3">
      <w:pPr>
        <w:pStyle w:val="2"/>
        <w:spacing w:line="339" w:lineRule="auto"/>
      </w:pPr>
    </w:p>
    <w:p w14:paraId="5B32661B">
      <w:pPr>
        <w:pStyle w:val="2"/>
        <w:spacing w:line="339" w:lineRule="auto"/>
      </w:pPr>
    </w:p>
    <w:p w14:paraId="61C9EC6B">
      <w:pPr>
        <w:pStyle w:val="2"/>
        <w:spacing w:line="339" w:lineRule="auto"/>
      </w:pPr>
    </w:p>
    <w:p w14:paraId="34E6A9CD">
      <w:pPr>
        <w:pStyle w:val="2"/>
        <w:spacing w:line="339" w:lineRule="auto"/>
      </w:pPr>
    </w:p>
    <w:p w14:paraId="51053F2F">
      <w:pPr>
        <w:pStyle w:val="2"/>
        <w:spacing w:line="339" w:lineRule="auto"/>
      </w:pPr>
    </w:p>
    <w:p w14:paraId="69604A01">
      <w:pPr>
        <w:pStyle w:val="2"/>
        <w:spacing w:line="339" w:lineRule="auto"/>
      </w:pPr>
    </w:p>
    <w:p w14:paraId="0272A7D0">
      <w:pPr>
        <w:pStyle w:val="2"/>
        <w:spacing w:line="339" w:lineRule="auto"/>
      </w:pPr>
    </w:p>
    <w:p w14:paraId="0874EA28">
      <w:pPr>
        <w:pStyle w:val="2"/>
        <w:spacing w:line="339" w:lineRule="auto"/>
      </w:pPr>
    </w:p>
    <w:p w14:paraId="521F4D4A">
      <w:pPr>
        <w:pStyle w:val="2"/>
        <w:spacing w:line="339" w:lineRule="auto"/>
      </w:pPr>
    </w:p>
    <w:p w14:paraId="5EE6E94F">
      <w:pPr>
        <w:pStyle w:val="2"/>
        <w:spacing w:line="339" w:lineRule="auto"/>
      </w:pPr>
    </w:p>
    <w:p w14:paraId="5FED1058">
      <w:pPr>
        <w:spacing w:before="100" w:line="224" w:lineRule="auto"/>
        <w:ind w:left="30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十、部门预算项目支出绩效自评表</w:t>
      </w:r>
    </w:p>
    <w:p w14:paraId="30C30A00">
      <w:pPr>
        <w:pStyle w:val="2"/>
        <w:spacing w:line="261" w:lineRule="auto"/>
      </w:pPr>
    </w:p>
    <w:p w14:paraId="62EC5518">
      <w:pPr>
        <w:pStyle w:val="2"/>
        <w:spacing w:line="261" w:lineRule="auto"/>
      </w:pPr>
    </w:p>
    <w:p w14:paraId="3F2A1DFB">
      <w:pPr>
        <w:pStyle w:val="2"/>
        <w:spacing w:line="261" w:lineRule="auto"/>
      </w:pPr>
      <w:r>
        <w:drawing>
          <wp:inline distT="0" distB="0" distL="114300" distR="114300">
            <wp:extent cx="5293995" cy="6396990"/>
            <wp:effectExtent l="0" t="0" r="1905" b="3810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63969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04948707">
      <w:pPr>
        <w:spacing w:line="9847" w:lineRule="exact"/>
        <w:sectPr>
          <w:footerReference r:id="rId11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7C6C1CF5">
      <w:pPr>
        <w:outlineLvl w:val="0"/>
        <w:spacing w:before="225" w:line="443" w:lineRule="exact"/>
        <w:ind w:left="482"/>
        <w:rPr>
          <w:sz w:val="43"/>
          <w:szCs w:val="43"/>
          <w:rFonts w:ascii="微软雅黑" w:hAnsi="微软雅黑" w:eastAsia="微软雅黑" w:cs="微软雅黑"/>
        </w:rPr>
      </w:pPr>
      <w:r>
        <w:rPr>
          <w:spacing w:val="5"/>
          <w:position w:val="-2"/>
          <w:sz w:val="43"/>
          <w:szCs w:val="43"/>
          <w:rFonts w:ascii="微软雅黑" w:hAnsi="微软雅黑" w:eastAsia="微软雅黑" w:cs="微软雅黑"/>
        </w:rPr>
        <w:t>第三部分</w:t>
      </w:r>
      <w:r>
        <w:rPr>
          <w:spacing w:val="103"/>
          <w:position w:val="-2"/>
          <w:sz w:val="43"/>
          <w:szCs w:val="43"/>
          <w:rFonts w:ascii="微软雅黑" w:hAnsi="微软雅黑" w:eastAsia="微软雅黑" w:cs="微软雅黑"/>
        </w:rPr>
        <w:t xml:space="preserve"> </w:t>
      </w:r>
      <w:r>
        <w:rPr>
          <w:spacing w:val="5"/>
          <w:position w:val="-2"/>
          <w:sz w:val="43"/>
          <w:szCs w:val="43"/>
          <w:rFonts w:ascii="微软雅黑" w:hAnsi="微软雅黑" w:eastAsia="微软雅黑" w:cs="微软雅黑"/>
        </w:rPr>
        <w:t>2023年度部门决算情况说明</w:t>
      </w:r>
    </w:p>
    <w:p w14:paraId="77BE0DEE">
      <w:pPr>
        <w:pStyle w:val="2"/>
        <w:spacing w:line="314" w:lineRule="auto"/>
      </w:pPr>
    </w:p>
    <w:p w14:paraId="3D9755A5">
      <w:pPr>
        <w:pStyle w:val="2"/>
        <w:spacing w:line="314" w:lineRule="auto"/>
      </w:pPr>
    </w:p>
    <w:p w14:paraId="09CE0E0F">
      <w:pPr>
        <w:pStyle w:val="2"/>
        <w:spacing w:line="315" w:lineRule="auto"/>
      </w:pPr>
    </w:p>
    <w:p w14:paraId="7C413C88">
      <w:pPr>
        <w:spacing w:before="101" w:line="224" w:lineRule="auto"/>
        <w:ind w:left="672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一、收入支出决算总体情况说明</w:t>
      </w:r>
    </w:p>
    <w:p w14:paraId="00B3D10C">
      <w:pPr>
        <w:spacing w:before="248" w:line="362" w:lineRule="auto"/>
        <w:ind w:firstLine="634" w:left="36" w:right="113"/>
        <w:rPr>
          <w:sz w:val="31"/>
          <w:lang w:val="en-US" w:eastAsia="zh-CN"/>
          <w:szCs w:val="31"/>
          <w:rFonts w:ascii="仿宋" w:hAnsi="仿宋" w:eastAsia="仿宋" w:cs="仿宋" w:hint="default"/>
        </w:rPr>
      </w:pPr>
      <w:r>
        <w:rPr>
          <w:spacing w:val="4"/>
          <w:sz w:val="31"/>
          <w:szCs w:val="31"/>
          <w:rFonts w:ascii="宋体" w:hAnsi="宋体" w:eastAsia="宋体" w:cs="宋体"/>
        </w:rPr>
        <w:t>2023</w:t>
      </w:r>
      <w:r>
        <w:rPr>
          <w:spacing w:val="-21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年度收、支总计均为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3508.6</w:t>
      </w:r>
      <w:r>
        <w:rPr>
          <w:spacing w:val="4"/>
          <w:sz w:val="31"/>
          <w:szCs w:val="31"/>
          <w:rFonts w:ascii="仿宋" w:hAnsi="仿宋" w:eastAsia="仿宋" w:cs="仿宋"/>
        </w:rPr>
        <w:t>万元。与</w:t>
      </w:r>
      <w:r>
        <w:rPr>
          <w:spacing w:val="-3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宋体" w:hAnsi="宋体" w:eastAsia="宋体" w:cs="宋体"/>
        </w:rPr>
        <w:t>2022</w:t>
      </w:r>
      <w:r>
        <w:rPr>
          <w:spacing w:val="-35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年度相比，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收、支总计各减少</w:t>
      </w:r>
      <w:r>
        <w:rPr>
          <w:spacing w:val="32"/>
          <w:sz w:val="31"/>
          <w:lang w:val="en-US" w:eastAsia="zh-CN"/>
          <w:szCs w:val="31"/>
          <w:rFonts w:ascii="仿宋" w:hAnsi="仿宋" w:eastAsia="仿宋" w:cs="仿宋" w:hint="eastAsia"/>
        </w:rPr>
        <w:t>612.47</w:t>
      </w:r>
      <w:r>
        <w:rPr>
          <w:spacing w:val="4"/>
          <w:sz w:val="31"/>
          <w:szCs w:val="31"/>
          <w:rFonts w:ascii="仿宋" w:hAnsi="仿宋" w:eastAsia="仿宋" w:cs="仿宋"/>
        </w:rPr>
        <w:t>万元，下降</w:t>
      </w:r>
      <w:r>
        <w:rPr>
          <w:spacing w:val="1"/>
          <w:sz w:val="31"/>
          <w:lang w:val="en-US" w:eastAsia="zh-CN"/>
          <w:szCs w:val="31"/>
          <w:rFonts w:ascii="仿宋" w:hAnsi="仿宋" w:eastAsia="仿宋" w:cs="仿宋" w:hint="eastAsia"/>
        </w:rPr>
        <w:t>15</w:t>
      </w:r>
      <w:r>
        <w:rPr>
          <w:spacing w:val="4"/>
          <w:sz w:val="31"/>
          <w:szCs w:val="31"/>
          <w:rFonts w:ascii="宋体" w:hAnsi="宋体" w:eastAsia="宋体" w:cs="宋体"/>
        </w:rPr>
        <w:t>%</w:t>
      </w:r>
      <w:r>
        <w:rPr>
          <w:spacing w:val="4"/>
          <w:sz w:val="31"/>
          <w:szCs w:val="31"/>
          <w:rFonts w:ascii="仿宋" w:hAnsi="仿宋" w:eastAsia="仿宋" w:cs="仿宋"/>
        </w:rPr>
        <w:t>。主</w:t>
      </w:r>
      <w:r>
        <w:rPr>
          <w:spacing w:val="-10"/>
          <w:sz w:val="31"/>
          <w:szCs w:val="31"/>
          <w:rFonts w:ascii="仿宋" w:hAnsi="仿宋" w:eastAsia="仿宋" w:cs="仿宋"/>
        </w:rPr>
        <w:t>要</w:t>
      </w:r>
      <w:r>
        <w:rPr>
          <w:spacing w:val="-10"/>
          <w:sz w:val="31"/>
          <w:lang w:eastAsia="zh-CN"/>
          <w:szCs w:val="31"/>
          <w:rFonts w:ascii="仿宋" w:hAnsi="仿宋" w:eastAsia="仿宋" w:cs="仿宋" w:hint="eastAsia"/>
        </w:rPr>
        <w:t>原因：</w:t>
      </w:r>
      <w:r>
        <w:rPr>
          <w:spacing w:val="-10"/>
          <w:sz w:val="31"/>
          <w:lang w:val="en-US" w:eastAsia="zh-CN"/>
          <w:szCs w:val="31"/>
          <w:rFonts w:ascii="仿宋" w:hAnsi="仿宋" w:eastAsia="仿宋" w:cs="仿宋" w:hint="eastAsia"/>
        </w:rPr>
        <w:t>2022年疫情防控支出较大。</w:t>
      </w:r>
    </w:p>
    <w:p w14:paraId="001C76B5">
      <w:pPr>
        <w:pStyle w:val="2"/>
        <w:spacing w:line="260" w:lineRule="auto"/>
      </w:pPr>
    </w:p>
    <w:p w14:paraId="32C6F336">
      <w:pPr>
        <w:spacing w:before="50" w:line="224" w:lineRule="auto"/>
        <w:ind w:left="672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二、收入决算情况说明</w:t>
      </w:r>
    </w:p>
    <w:p w14:paraId="3251B32F">
      <w:pPr>
        <w:spacing w:before="253" w:line="368" w:lineRule="auto"/>
        <w:ind w:firstLine="644" w:left="23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仿宋" w:hAnsi="仿宋" w:eastAsia="仿宋" w:cs="仿宋"/>
        </w:rPr>
        <w:t>本年收入合计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3508.6</w:t>
      </w:r>
      <w:r>
        <w:rPr>
          <w:spacing w:val="4"/>
          <w:sz w:val="31"/>
          <w:szCs w:val="31"/>
          <w:rFonts w:ascii="仿宋" w:hAnsi="仿宋" w:eastAsia="仿宋" w:cs="仿宋"/>
        </w:rPr>
        <w:t>万元，其中：财政拨款收入</w:t>
      </w:r>
      <w:r>
        <w:rPr>
          <w:spacing w:val="24"/>
          <w:sz w:val="31"/>
          <w:lang w:val="en-US" w:eastAsia="zh-CN"/>
          <w:szCs w:val="31"/>
          <w:rFonts w:ascii="仿宋" w:hAnsi="仿宋" w:eastAsia="仿宋" w:cs="仿宋" w:hint="eastAsia"/>
        </w:rPr>
        <w:t>3508.6</w:t>
      </w:r>
      <w:r>
        <w:rPr>
          <w:spacing w:val="4"/>
          <w:sz w:val="31"/>
          <w:szCs w:val="31"/>
          <w:rFonts w:ascii="仿宋" w:hAnsi="仿宋" w:eastAsia="仿宋" w:cs="仿宋"/>
        </w:rPr>
        <w:t>万元，</w:t>
      </w:r>
      <w:r>
        <w:rPr>
          <w:spacing w:val="-8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比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上年减少</w:t>
      </w:r>
      <w:r>
        <w:rPr>
          <w:spacing w:val="6"/>
          <w:sz w:val="31"/>
          <w:lang w:val="en-US" w:eastAsia="zh-CN"/>
          <w:szCs w:val="31"/>
          <w:rFonts w:ascii="仿宋" w:hAnsi="仿宋" w:eastAsia="仿宋" w:cs="仿宋" w:hint="eastAsia"/>
        </w:rPr>
        <w:t>612.47</w:t>
      </w:r>
      <w:r>
        <w:rPr>
          <w:spacing w:val="6"/>
          <w:sz w:val="31"/>
          <w:szCs w:val="31"/>
          <w:rFonts w:ascii="仿宋" w:hAnsi="仿宋" w:eastAsia="仿宋" w:cs="仿宋"/>
        </w:rPr>
        <w:t>万元，下降</w:t>
      </w:r>
      <w:r>
        <w:rPr>
          <w:spacing w:val="6"/>
          <w:sz w:val="31"/>
          <w:lang w:val="en-US" w:eastAsia="zh-CN"/>
          <w:szCs w:val="31"/>
          <w:rFonts w:ascii="仿宋" w:hAnsi="仿宋" w:eastAsia="仿宋" w:cs="仿宋" w:hint="eastAsia"/>
        </w:rPr>
        <w:t>15</w:t>
      </w:r>
      <w:r>
        <w:rPr>
          <w:spacing w:val="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宋体" w:hAnsi="宋体" w:eastAsia="宋体" w:cs="宋体"/>
        </w:rPr>
        <w:t>%</w:t>
      </w:r>
      <w:r>
        <w:rPr>
          <w:spacing w:val="6"/>
          <w:sz w:val="31"/>
          <w:szCs w:val="31"/>
          <w:rFonts w:ascii="仿宋" w:hAnsi="仿宋" w:eastAsia="仿宋" w:cs="仿宋"/>
        </w:rPr>
        <w:t>，主要是</w:t>
      </w:r>
      <w:r>
        <w:rPr>
          <w:spacing w:val="-9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0"/>
          <w:sz w:val="31"/>
          <w:lang w:val="en-US" w:eastAsia="zh-CN"/>
          <w:szCs w:val="31"/>
          <w:rFonts w:ascii="仿宋" w:hAnsi="仿宋" w:eastAsia="仿宋" w:cs="仿宋" w:hint="eastAsia"/>
        </w:rPr>
        <w:t>2022年疫情防控支出较大</w:t>
      </w:r>
      <w:r>
        <w:rPr>
          <w:spacing w:val="6"/>
          <w:sz w:val="31"/>
          <w:szCs w:val="31"/>
          <w:rFonts w:ascii="仿宋" w:hAnsi="仿宋" w:eastAsia="仿宋" w:cs="仿宋"/>
        </w:rPr>
        <w:t>；上</w:t>
      </w:r>
      <w:r>
        <w:rPr>
          <w:spacing w:val="-15"/>
          <w:sz w:val="31"/>
          <w:szCs w:val="31"/>
          <w:rFonts w:ascii="仿宋" w:hAnsi="仿宋" w:eastAsia="仿宋" w:cs="仿宋"/>
        </w:rPr>
        <w:t>级补助收入</w:t>
      </w:r>
      <w:r>
        <w:rPr>
          <w:spacing w:val="-1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15"/>
          <w:sz w:val="31"/>
          <w:szCs w:val="31"/>
          <w:rFonts w:ascii="仿宋" w:hAnsi="仿宋" w:eastAsia="仿宋" w:cs="仿宋"/>
        </w:rPr>
        <w:t>万元</w:t>
      </w:r>
      <w:r>
        <w:rPr>
          <w:spacing w:val="4"/>
          <w:sz w:val="31"/>
          <w:szCs w:val="31"/>
          <w:rFonts w:ascii="仿宋" w:hAnsi="仿宋" w:eastAsia="仿宋" w:cs="仿宋"/>
        </w:rPr>
        <w:t>；事业收入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4"/>
          <w:sz w:val="31"/>
          <w:szCs w:val="31"/>
          <w:rFonts w:ascii="仿宋" w:hAnsi="仿宋" w:eastAsia="仿宋" w:cs="仿宋"/>
        </w:rPr>
        <w:t xml:space="preserve">万元；经营收入 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4"/>
          <w:sz w:val="31"/>
          <w:szCs w:val="31"/>
          <w:rFonts w:ascii="仿宋" w:hAnsi="仿宋" w:eastAsia="仿宋" w:cs="仿宋"/>
        </w:rPr>
        <w:t>万元</w:t>
      </w:r>
      <w:r>
        <w:rPr>
          <w:spacing w:val="6"/>
          <w:sz w:val="31"/>
          <w:szCs w:val="31"/>
          <w:rFonts w:ascii="仿宋" w:hAnsi="仿宋" w:eastAsia="仿宋" w:cs="仿宋"/>
        </w:rPr>
        <w:t>；附属单位</w:t>
      </w:r>
      <w:r>
        <w:rPr>
          <w:spacing w:val="-9"/>
          <w:sz w:val="31"/>
          <w:szCs w:val="31"/>
          <w:rFonts w:ascii="仿宋" w:hAnsi="仿宋" w:eastAsia="仿宋" w:cs="仿宋"/>
        </w:rPr>
        <w:t>上缴收入</w:t>
      </w:r>
      <w:r>
        <w:rPr>
          <w:spacing w:val="-9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9"/>
          <w:sz w:val="31"/>
          <w:szCs w:val="31"/>
          <w:rFonts w:ascii="仿宋" w:hAnsi="仿宋" w:eastAsia="仿宋" w:cs="仿宋"/>
        </w:rPr>
        <w:t>万元</w:t>
      </w:r>
      <w:r>
        <w:rPr>
          <w:spacing w:val="4"/>
          <w:sz w:val="31"/>
          <w:szCs w:val="31"/>
          <w:rFonts w:ascii="仿宋" w:hAnsi="仿宋" w:eastAsia="仿宋" w:cs="仿宋"/>
        </w:rPr>
        <w:t>；其他收入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4"/>
          <w:sz w:val="31"/>
          <w:szCs w:val="31"/>
          <w:rFonts w:ascii="仿宋" w:hAnsi="仿宋" w:eastAsia="仿宋" w:cs="仿宋"/>
        </w:rPr>
        <w:t>万元。</w:t>
      </w:r>
    </w:p>
    <w:p w14:paraId="7B734218">
      <w:pPr>
        <w:spacing w:before="158" w:line="224" w:lineRule="auto"/>
        <w:ind w:left="674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三、支出决算情况说明</w:t>
      </w:r>
    </w:p>
    <w:p w14:paraId="4657EE75">
      <w:pPr>
        <w:spacing w:before="251" w:line="368" w:lineRule="auto"/>
        <w:ind w:firstLine="645" w:left="21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仿宋" w:hAnsi="仿宋" w:eastAsia="仿宋" w:cs="仿宋"/>
        </w:rPr>
        <w:t>本年支出合计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3508.6</w:t>
      </w:r>
      <w:r>
        <w:rPr>
          <w:spacing w:val="4"/>
          <w:sz w:val="31"/>
          <w:szCs w:val="31"/>
          <w:rFonts w:ascii="仿宋" w:hAnsi="仿宋" w:eastAsia="仿宋" w:cs="仿宋"/>
        </w:rPr>
        <w:t>万元，其中：基本支出</w:t>
      </w:r>
      <w:r>
        <w:rPr>
          <w:spacing w:val="24"/>
          <w:sz w:val="31"/>
          <w:lang w:val="en-US" w:eastAsia="zh-CN"/>
          <w:szCs w:val="31"/>
          <w:rFonts w:ascii="仿宋" w:hAnsi="仿宋" w:eastAsia="仿宋" w:cs="仿宋" w:hint="eastAsia"/>
        </w:rPr>
        <w:t>1119.9</w:t>
      </w:r>
      <w:r>
        <w:rPr>
          <w:spacing w:val="4"/>
          <w:sz w:val="31"/>
          <w:szCs w:val="31"/>
          <w:rFonts w:ascii="仿宋" w:hAnsi="仿宋" w:eastAsia="仿宋" w:cs="仿宋"/>
        </w:rPr>
        <w:t>万元，</w:t>
      </w:r>
      <w:r>
        <w:rPr>
          <w:spacing w:val="-8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比上年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增加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44.8</w:t>
      </w:r>
      <w:r>
        <w:rPr>
          <w:spacing w:val="7"/>
          <w:sz w:val="31"/>
          <w:szCs w:val="31"/>
          <w:rFonts w:ascii="仿宋" w:hAnsi="仿宋" w:eastAsia="仿宋" w:cs="仿宋"/>
        </w:rPr>
        <w:t>万元，增长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4</w:t>
      </w:r>
      <w:r>
        <w:rPr>
          <w:spacing w:val="7"/>
          <w:sz w:val="31"/>
          <w:szCs w:val="31"/>
          <w:rFonts w:ascii="宋体" w:hAnsi="宋体" w:eastAsia="宋体" w:cs="宋体"/>
        </w:rPr>
        <w:t>%</w:t>
      </w:r>
      <w:r>
        <w:rPr>
          <w:spacing w:val="7"/>
          <w:sz w:val="31"/>
          <w:szCs w:val="31"/>
          <w:rFonts w:ascii="仿宋" w:hAnsi="仿宋" w:eastAsia="仿宋" w:cs="仿宋"/>
        </w:rPr>
        <w:t>，</w:t>
      </w:r>
      <w:r>
        <w:rPr>
          <w:spacing w:val="7"/>
          <w:sz w:val="31"/>
          <w:lang w:eastAsia="zh-CN"/>
          <w:szCs w:val="31"/>
          <w:rFonts w:ascii="仿宋" w:hAnsi="仿宋" w:eastAsia="仿宋" w:cs="仿宋" w:hint="eastAsia"/>
        </w:rPr>
        <w:t>主要是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2022年疫情防控支出较大</w:t>
      </w:r>
      <w:r>
        <w:rPr>
          <w:spacing w:val="7"/>
          <w:sz w:val="31"/>
          <w:szCs w:val="31"/>
          <w:rFonts w:ascii="仿宋" w:hAnsi="仿宋" w:eastAsia="仿宋" w:cs="仿宋"/>
        </w:rPr>
        <w:t>；</w:t>
      </w:r>
      <w:r>
        <w:rPr>
          <w:spacing w:val="6"/>
          <w:sz w:val="31"/>
          <w:szCs w:val="31"/>
          <w:rFonts w:ascii="仿宋" w:hAnsi="仿宋" w:eastAsia="仿宋" w:cs="仿宋"/>
        </w:rPr>
        <w:t>项目支</w:t>
      </w:r>
      <w:r>
        <w:rPr>
          <w:spacing w:val="3"/>
          <w:sz w:val="31"/>
          <w:szCs w:val="31"/>
          <w:rFonts w:ascii="仿宋" w:hAnsi="仿宋" w:eastAsia="仿宋" w:cs="仿宋"/>
        </w:rPr>
        <w:t>出</w:t>
      </w:r>
      <w:r>
        <w:rPr>
          <w:spacing w:val="4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7"/>
          <w:sz w:val="31"/>
          <w:lang w:val="en-US" w:eastAsia="zh-CN"/>
          <w:szCs w:val="31"/>
          <w:rFonts w:ascii="仿宋" w:hAnsi="仿宋" w:eastAsia="仿宋" w:cs="仿宋" w:hint="eastAsia"/>
        </w:rPr>
        <w:t>2388.68</w:t>
      </w:r>
      <w:r>
        <w:rPr>
          <w:spacing w:val="3"/>
          <w:sz w:val="31"/>
          <w:szCs w:val="31"/>
          <w:rFonts w:ascii="仿宋" w:hAnsi="仿宋" w:eastAsia="仿宋" w:cs="仿宋"/>
        </w:rPr>
        <w:t>万元，</w:t>
      </w:r>
      <w:r>
        <w:rPr>
          <w:spacing w:val="-7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"/>
          <w:sz w:val="31"/>
          <w:szCs w:val="31"/>
          <w:rFonts w:ascii="仿宋" w:hAnsi="仿宋" w:eastAsia="仿宋" w:cs="仿宋"/>
        </w:rPr>
        <w:t>比上年减少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657.29</w:t>
      </w:r>
      <w:r>
        <w:rPr>
          <w:spacing w:val="3"/>
          <w:sz w:val="31"/>
          <w:szCs w:val="31"/>
          <w:rFonts w:ascii="仿宋" w:hAnsi="仿宋" w:eastAsia="仿宋" w:cs="仿宋"/>
        </w:rPr>
        <w:t>万元，下降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22</w:t>
      </w:r>
      <w:r>
        <w:rPr>
          <w:spacing w:val="3"/>
          <w:sz w:val="31"/>
          <w:szCs w:val="31"/>
          <w:rFonts w:ascii="宋体" w:hAnsi="宋体" w:eastAsia="宋体" w:cs="宋体"/>
        </w:rPr>
        <w:t>%</w:t>
      </w:r>
      <w:r>
        <w:rPr>
          <w:spacing w:val="3"/>
          <w:sz w:val="31"/>
          <w:szCs w:val="31"/>
          <w:rFonts w:ascii="仿宋" w:hAnsi="仿宋" w:eastAsia="仿宋" w:cs="仿宋"/>
        </w:rPr>
        <w:t>，</w:t>
      </w:r>
      <w:r>
        <w:rPr>
          <w:spacing w:val="7"/>
          <w:sz w:val="31"/>
          <w:lang w:eastAsia="zh-CN"/>
          <w:szCs w:val="31"/>
          <w:rFonts w:ascii="仿宋" w:hAnsi="仿宋" w:eastAsia="仿宋" w:cs="仿宋" w:hint="eastAsia"/>
        </w:rPr>
        <w:t>主要是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2022年疫情支出较大</w:t>
      </w:r>
      <w:r>
        <w:rPr>
          <w:spacing w:val="7"/>
          <w:sz w:val="31"/>
          <w:szCs w:val="31"/>
          <w:rFonts w:ascii="仿宋" w:hAnsi="仿宋" w:eastAsia="仿宋" w:cs="仿宋"/>
        </w:rPr>
        <w:t>；</w:t>
      </w:r>
      <w:r>
        <w:rPr>
          <w:spacing w:val="-2"/>
          <w:sz w:val="31"/>
          <w:szCs w:val="31"/>
          <w:rFonts w:ascii="仿宋" w:hAnsi="仿宋" w:eastAsia="仿宋" w:cs="仿宋"/>
        </w:rPr>
        <w:t>上缴上级支出</w:t>
      </w:r>
      <w:r>
        <w:rPr>
          <w:spacing w:val="-2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2"/>
          <w:sz w:val="31"/>
          <w:szCs w:val="31"/>
          <w:rFonts w:ascii="仿宋" w:hAnsi="仿宋" w:eastAsia="仿宋" w:cs="仿宋"/>
        </w:rPr>
        <w:t>万元</w:t>
      </w:r>
      <w:r>
        <w:rPr>
          <w:spacing w:val="2"/>
          <w:sz w:val="31"/>
          <w:szCs w:val="31"/>
          <w:rFonts w:ascii="仿宋" w:hAnsi="仿宋" w:eastAsia="仿宋" w:cs="仿宋"/>
        </w:rPr>
        <w:t>；经营支出</w:t>
      </w:r>
      <w:r>
        <w:rPr>
          <w:spacing w:val="46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2"/>
          <w:sz w:val="31"/>
          <w:szCs w:val="31"/>
          <w:rFonts w:ascii="仿宋" w:hAnsi="仿宋" w:eastAsia="仿宋" w:cs="仿宋"/>
        </w:rPr>
        <w:t>万元</w:t>
      </w:r>
      <w:r>
        <w:rPr>
          <w:spacing w:val="6"/>
          <w:sz w:val="31"/>
          <w:szCs w:val="31"/>
          <w:rFonts w:ascii="仿宋" w:hAnsi="仿宋" w:eastAsia="仿宋" w:cs="仿宋"/>
        </w:rPr>
        <w:t>；对附属单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5"/>
          <w:sz w:val="31"/>
          <w:szCs w:val="31"/>
          <w:rFonts w:ascii="仿宋" w:hAnsi="仿宋" w:eastAsia="仿宋" w:cs="仿宋"/>
        </w:rPr>
        <w:t>位补助支出</w:t>
      </w:r>
      <w:r>
        <w:rPr>
          <w:spacing w:val="4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15"/>
          <w:sz w:val="31"/>
          <w:szCs w:val="31"/>
          <w:rFonts w:ascii="仿宋" w:hAnsi="仿宋" w:eastAsia="仿宋" w:cs="仿宋"/>
        </w:rPr>
        <w:t>万元</w:t>
      </w:r>
      <w:r>
        <w:rPr>
          <w:spacing w:val="-2"/>
          <w:sz w:val="31"/>
          <w:szCs w:val="31"/>
          <w:rFonts w:ascii="仿宋" w:hAnsi="仿宋" w:eastAsia="仿宋" w:cs="仿宋"/>
        </w:rPr>
        <w:t>。</w:t>
      </w:r>
    </w:p>
    <w:p w14:paraId="505FC7C6">
      <w:pPr>
        <w:pStyle w:val="2"/>
        <w:spacing w:line="285" w:lineRule="auto"/>
      </w:pPr>
    </w:p>
    <w:p w14:paraId="4D8E809C">
      <w:pPr>
        <w:pStyle w:val="2"/>
        <w:spacing w:line="285" w:lineRule="auto"/>
      </w:pPr>
    </w:p>
    <w:p w14:paraId="68D2FAC8">
      <w:pPr>
        <w:spacing w:before="101" w:line="224" w:lineRule="auto"/>
        <w:ind w:left="686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四、财政拨款收入支出决算总体情况说明</w:t>
      </w:r>
    </w:p>
    <w:p w14:paraId="6F4CBAA8">
      <w:pPr>
        <w:spacing w:before="248" w:line="362" w:lineRule="auto"/>
        <w:ind w:firstLine="648" w:left="23" w:right="86"/>
      </w:pPr>
      <w:r>
        <w:rPr>
          <w:spacing w:val="6"/>
          <w:sz w:val="31"/>
          <w:szCs w:val="31"/>
          <w:rFonts w:ascii="宋体" w:hAnsi="宋体" w:eastAsia="宋体" w:cs="宋体"/>
        </w:rPr>
        <w:t>2023</w:t>
      </w:r>
      <w:r>
        <w:rPr>
          <w:spacing w:val="-3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年度财政拨款收、支总计均为</w:t>
      </w:r>
      <w:r>
        <w:rPr>
          <w:spacing w:val="6"/>
          <w:sz w:val="31"/>
          <w:lang w:val="en-US" w:eastAsia="zh-CN"/>
          <w:szCs w:val="31"/>
          <w:rFonts w:ascii="仿宋" w:hAnsi="仿宋" w:eastAsia="仿宋" w:cs="仿宋" w:hint="eastAsia"/>
        </w:rPr>
        <w:t>3508.6</w:t>
      </w:r>
      <w:r>
        <w:rPr>
          <w:spacing w:val="5"/>
          <w:sz w:val="31"/>
          <w:szCs w:val="31"/>
          <w:rFonts w:ascii="仿宋" w:hAnsi="仿宋" w:eastAsia="仿宋" w:cs="仿宋"/>
        </w:rPr>
        <w:t>万元，与</w:t>
      </w:r>
      <w:r>
        <w:rPr>
          <w:spacing w:val="-3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宋体" w:hAnsi="宋体" w:eastAsia="宋体" w:cs="宋体"/>
        </w:rPr>
        <w:t>2022</w:t>
      </w:r>
      <w:r>
        <w:rPr>
          <w:spacing w:val="-3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年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9"/>
          <w:sz w:val="31"/>
          <w:szCs w:val="31"/>
          <w:rFonts w:ascii="仿宋" w:hAnsi="仿宋" w:eastAsia="仿宋" w:cs="仿宋"/>
        </w:rPr>
        <w:t>相比，财政拨款收、支总计各减少</w:t>
      </w:r>
      <w:r>
        <w:rPr>
          <w:spacing w:val="-9"/>
          <w:sz w:val="31"/>
          <w:lang w:val="en-US" w:eastAsia="zh-CN"/>
          <w:szCs w:val="31"/>
          <w:rFonts w:ascii="仿宋" w:hAnsi="仿宋" w:eastAsia="仿宋" w:cs="仿宋" w:hint="eastAsia"/>
        </w:rPr>
        <w:t>612.47</w:t>
      </w:r>
      <w:r>
        <w:rPr>
          <w:spacing w:val="-9"/>
          <w:sz w:val="31"/>
          <w:szCs w:val="31"/>
          <w:rFonts w:ascii="仿宋" w:hAnsi="仿宋" w:eastAsia="仿宋" w:cs="仿宋"/>
        </w:rPr>
        <w:t>万元，</w:t>
      </w:r>
      <w:r>
        <w:rPr>
          <w:spacing w:val="7"/>
          <w:sz w:val="31"/>
          <w:lang w:eastAsia="zh-CN"/>
          <w:szCs w:val="31"/>
          <w:rFonts w:ascii="仿宋" w:hAnsi="仿宋" w:eastAsia="仿宋" w:cs="仿宋" w:hint="eastAsia"/>
        </w:rPr>
        <w:t>主要是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2022年疫情防控支出较大。</w:t>
      </w:r>
    </w:p>
    <w:p w14:paraId="14D0D310">
      <w:pPr>
        <w:spacing w:before="101" w:line="224" w:lineRule="auto"/>
        <w:ind w:left="676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五、一般公共预算财政拨款支出决算情况说明</w:t>
      </w:r>
    </w:p>
    <w:p w14:paraId="6345DA61">
      <w:pPr>
        <w:outlineLvl w:val="2"/>
        <w:spacing w:before="248" w:line="223" w:lineRule="auto"/>
        <w:ind w:left="662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-1"/>
          <w:sz w:val="31"/>
          <w:bCs/>
          <w:szCs w:val="31"/>
          <w:rFonts w:ascii="仿宋" w:hAnsi="仿宋" w:eastAsia="仿宋" w:cs="仿宋"/>
        </w:rPr>
        <w:t>（</w:t>
      </w:r>
      <w:r>
        <w:rPr>
          <w:spacing w:val="-63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-1"/>
          <w:sz w:val="31"/>
          <w:bCs/>
          <w:szCs w:val="31"/>
          <w:rFonts w:ascii="仿宋" w:hAnsi="仿宋" w:eastAsia="仿宋" w:cs="仿宋"/>
        </w:rPr>
        <w:t>一</w:t>
      </w:r>
      <w:r>
        <w:rPr>
          <w:spacing w:val="-65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-1"/>
          <w:sz w:val="31"/>
          <w:bCs/>
          <w:szCs w:val="31"/>
          <w:rFonts w:ascii="仿宋" w:hAnsi="仿宋" w:eastAsia="仿宋" w:cs="仿宋"/>
        </w:rPr>
        <w:t>）一般公共预算财政拨款支出决算总体情况</w:t>
      </w:r>
    </w:p>
    <w:p w14:paraId="6514162F">
      <w:pPr>
        <w:spacing w:before="160" w:line="357" w:lineRule="auto"/>
        <w:ind w:right="90"/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</w:pPr>
      <w:r>
        <w:rPr>
          <w:spacing w:val="4"/>
          <w:sz w:val="31"/>
          <w:szCs w:val="31"/>
          <w:rFonts w:ascii="宋体" w:hAnsi="宋体" w:eastAsia="宋体" w:cs="宋体"/>
        </w:rPr>
        <w:t>2023</w:t>
      </w:r>
      <w:r>
        <w:rPr>
          <w:spacing w:val="-54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年度一般公共预算财政拨款支出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3504.18</w:t>
      </w:r>
      <w:r>
        <w:rPr>
          <w:spacing w:val="4"/>
          <w:sz w:val="31"/>
          <w:szCs w:val="31"/>
          <w:rFonts w:ascii="仿宋" w:hAnsi="仿宋" w:eastAsia="仿宋" w:cs="仿宋"/>
        </w:rPr>
        <w:t>万元，占本年支</w:t>
      </w:r>
      <w:r>
        <w:rPr>
          <w:spacing w:val="3"/>
          <w:sz w:val="31"/>
          <w:szCs w:val="31"/>
          <w:rFonts w:ascii="仿宋" w:hAnsi="仿宋" w:eastAsia="仿宋" w:cs="仿宋"/>
        </w:rPr>
        <w:t>出合计的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99.8</w:t>
      </w:r>
      <w:r>
        <w:rPr>
          <w:spacing w:val="3"/>
          <w:sz w:val="31"/>
          <w:szCs w:val="31"/>
          <w:rFonts w:ascii="宋体" w:hAnsi="宋体" w:eastAsia="宋体" w:cs="宋体"/>
        </w:rPr>
        <w:t>%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。与 </w:t>
      </w:r>
      <w:r>
        <w:rPr>
          <w:spacing w:val="3"/>
          <w:sz w:val="31"/>
          <w:szCs w:val="31"/>
          <w:rFonts w:ascii="宋体" w:hAnsi="宋体" w:eastAsia="宋体" w:cs="宋体"/>
        </w:rPr>
        <w:t>2022</w:t>
      </w:r>
      <w:r>
        <w:rPr>
          <w:spacing w:val="-53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3"/>
          <w:sz w:val="31"/>
          <w:szCs w:val="31"/>
          <w:rFonts w:ascii="仿宋" w:hAnsi="仿宋" w:eastAsia="仿宋" w:cs="仿宋"/>
        </w:rPr>
        <w:t>年度相比，一般公共预算财政拨款支</w:t>
      </w:r>
      <w:r>
        <w:rPr>
          <w:spacing w:val="-1"/>
          <w:sz w:val="31"/>
          <w:szCs w:val="31"/>
          <w:rFonts w:ascii="仿宋" w:hAnsi="仿宋" w:eastAsia="仿宋" w:cs="仿宋"/>
        </w:rPr>
        <w:t>出减少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616.18</w:t>
      </w:r>
      <w:r>
        <w:rPr>
          <w:spacing w:val="-1"/>
          <w:sz w:val="31"/>
          <w:szCs w:val="31"/>
          <w:rFonts w:ascii="仿宋" w:hAnsi="仿宋" w:eastAsia="仿宋" w:cs="仿宋"/>
        </w:rPr>
        <w:t>万元，降低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15</w:t>
      </w:r>
      <w:r>
        <w:rPr>
          <w:spacing w:val="-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宋体" w:hAnsi="宋体" w:eastAsia="宋体" w:cs="宋体"/>
        </w:rPr>
        <w:t>%</w:t>
      </w:r>
      <w:r>
        <w:rPr>
          <w:spacing w:val="-1"/>
          <w:sz w:val="31"/>
          <w:szCs w:val="31"/>
          <w:rFonts w:ascii="仿宋" w:hAnsi="仿宋" w:eastAsia="仿宋" w:cs="仿宋"/>
        </w:rPr>
        <w:t>。主要原因：</w:t>
      </w:r>
      <w:r>
        <w:rPr>
          <w:spacing w:val="7"/>
          <w:sz w:val="31"/>
          <w:lang w:eastAsia="zh-CN"/>
          <w:szCs w:val="31"/>
          <w:rFonts w:ascii="仿宋" w:hAnsi="仿宋" w:eastAsia="仿宋" w:cs="仿宋" w:hint="eastAsia"/>
        </w:rPr>
        <w:t>是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2022年疫情防控支出较大。</w:t>
      </w:r>
    </w:p>
    <w:p w14:paraId="30AF51D9">
      <w:pPr>
        <w:outlineLvl w:val="2"/>
        <w:spacing w:before="51" w:line="223" w:lineRule="auto"/>
        <w:ind w:firstLine="638" w:firstLineChars="200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4"/>
          <w:sz w:val="31"/>
          <w:bCs/>
          <w:szCs w:val="31"/>
          <w:rFonts w:ascii="仿宋" w:hAnsi="仿宋" w:eastAsia="仿宋" w:cs="仿宋"/>
        </w:rPr>
        <w:t>（二）</w:t>
      </w:r>
      <w:r>
        <w:rPr>
          <w:spacing w:val="-80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4"/>
          <w:sz w:val="31"/>
          <w:bCs/>
          <w:szCs w:val="31"/>
          <w:rFonts w:ascii="仿宋" w:hAnsi="仿宋" w:eastAsia="仿宋" w:cs="仿宋"/>
        </w:rPr>
        <w:t>一般公共预算财政拨款支出决算结构情况</w:t>
      </w:r>
    </w:p>
    <w:p w14:paraId="07DC3A9B">
      <w:pPr>
        <w:jc w:val="both"/>
        <w:spacing w:before="251" w:line="364" w:lineRule="auto"/>
        <w:ind w:firstLine="603" w:left="68" w:right="7"/>
        <w:rPr>
          <w:spacing w:val="-6"/>
          <w:sz w:val="31"/>
          <w:lang w:eastAsia="zh-CN"/>
          <w:szCs w:val="31"/>
          <w:rFonts w:ascii="宋体" w:hAnsi="宋体" w:eastAsia="宋体" w:cs="宋体" w:hint="eastAsia"/>
        </w:rPr>
      </w:pPr>
      <w:r>
        <w:rPr>
          <w:spacing w:val="4"/>
          <w:sz w:val="31"/>
          <w:szCs w:val="31"/>
          <w:rFonts w:ascii="宋体" w:hAnsi="宋体" w:eastAsia="宋体" w:cs="宋体"/>
        </w:rPr>
        <w:t>2023</w:t>
      </w:r>
      <w:r>
        <w:rPr>
          <w:spacing w:val="-54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年度一般公共预算财政拨款支出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3504.18</w:t>
      </w:r>
      <w:r>
        <w:rPr>
          <w:spacing w:val="4"/>
          <w:sz w:val="31"/>
          <w:szCs w:val="31"/>
          <w:rFonts w:ascii="仿宋" w:hAnsi="仿宋" w:eastAsia="仿宋" w:cs="仿宋"/>
        </w:rPr>
        <w:t>万元，主要用于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6"/>
          <w:sz w:val="31"/>
          <w:szCs w:val="31"/>
          <w:rFonts w:ascii="仿宋" w:hAnsi="仿宋" w:eastAsia="仿宋" w:cs="仿宋"/>
        </w:rPr>
        <w:t>以下方面：一般公共服务支出</w:t>
      </w:r>
      <w:r>
        <w:rPr>
          <w:spacing w:val="-6"/>
          <w:sz w:val="31"/>
          <w:lang w:val="en-US" w:eastAsia="zh-CN"/>
          <w:szCs w:val="31"/>
          <w:rFonts w:ascii="仿宋" w:hAnsi="仿宋" w:eastAsia="仿宋" w:cs="仿宋" w:hint="eastAsia"/>
        </w:rPr>
        <w:t>2936.77</w:t>
      </w:r>
      <w:r>
        <w:rPr>
          <w:spacing w:val="-6"/>
          <w:sz w:val="31"/>
          <w:szCs w:val="31"/>
          <w:rFonts w:ascii="仿宋" w:hAnsi="仿宋" w:eastAsia="仿宋" w:cs="仿宋"/>
        </w:rPr>
        <w:t>万元，占</w:t>
      </w:r>
      <w:r>
        <w:rPr>
          <w:spacing w:val="-6"/>
          <w:sz w:val="31"/>
          <w:lang w:val="en-US" w:eastAsia="zh-CN"/>
          <w:szCs w:val="31"/>
          <w:rFonts w:ascii="仿宋" w:hAnsi="仿宋" w:eastAsia="仿宋" w:cs="仿宋" w:hint="eastAsia"/>
        </w:rPr>
        <w:t>84</w:t>
      </w:r>
      <w:r>
        <w:rPr>
          <w:spacing w:val="-6"/>
          <w:sz w:val="31"/>
          <w:szCs w:val="31"/>
          <w:rFonts w:ascii="宋体" w:hAnsi="宋体" w:eastAsia="宋体" w:cs="宋体"/>
        </w:rPr>
        <w:t>%</w:t>
      </w:r>
      <w:r>
        <w:rPr>
          <w:spacing w:val="-6"/>
          <w:sz w:val="31"/>
          <w:lang w:eastAsia="zh-CN"/>
          <w:szCs w:val="31"/>
          <w:rFonts w:ascii="宋体" w:hAnsi="宋体" w:eastAsia="宋体" w:cs="宋体" w:hint="eastAsia"/>
        </w:rPr>
        <w:t>。</w:t>
      </w:r>
    </w:p>
    <w:p w14:paraId="470EE716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1、住房保障支出（类）住房改革支出（款）住房公积金</w:t>
      </w:r>
    </w:p>
    <w:p w14:paraId="4CB36FF0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支出（项）。年初预算为141万元，支出决算140.03万元，</w:t>
      </w:r>
    </w:p>
    <w:p w14:paraId="2C05344E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完成年初预算99.3%。决算数小于预算数的主要原因是正常预</w:t>
      </w:r>
    </w:p>
    <w:p w14:paraId="1EF6A681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算差额。</w:t>
      </w:r>
    </w:p>
    <w:p w14:paraId="460DB9B7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2、文化旅游体育与传媒支出（类）文化和旅游（款）其</w:t>
      </w:r>
    </w:p>
    <w:p w14:paraId="549C048D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他文化和旅游支出（项）。年初预算为5万元，支出决算为5</w:t>
      </w:r>
    </w:p>
    <w:p w14:paraId="3A1CE070">
      <w:pPr>
        <w:widowControl w:val="1"/>
        <w:keepNext w:val="0"/>
        <w:keepLines w:val="0"/>
        <w:jc w:val="left"/>
        <w:suppressLineNumbers w:val="0"/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万元，完成年初预算的100%。</w:t>
      </w:r>
    </w:p>
    <w:p w14:paraId="18EDE325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3、社会保障和就业支出（类）人力资源和社会保障管理</w:t>
      </w:r>
    </w:p>
    <w:p w14:paraId="59885AD8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 xml:space="preserve">事务（款）基层政权建设和社区治理（项）。年初预算423 </w:t>
      </w:r>
    </w:p>
    <w:p w14:paraId="28996397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万元，支出决算为422.38万元，完成年初预算的99.9%。决算</w:t>
      </w:r>
    </w:p>
    <w:p w14:paraId="7E5AF322">
      <w:pPr>
        <w:widowControl w:val="1"/>
        <w:keepNext w:val="0"/>
        <w:keepLines w:val="0"/>
        <w:jc w:val="left"/>
        <w:suppressLineNumbers w:val="0"/>
        <w:rPr>
          <w:sz w:val="31"/>
          <w:szCs w:val="31"/>
          <w:rFonts w:ascii="仿宋" w:hAnsi="仿宋" w:eastAsia="仿宋" w:cs="仿宋" w:hint="eastAsia"/>
        </w:rPr>
      </w:pPr>
      <w:r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  <w:t>数小于预算数的主要原因是正常预算差额。</w:t>
      </w:r>
    </w:p>
    <w:p w14:paraId="2D860AB9">
      <w:pPr>
        <w:rPr>
          <w:sz w:val="32"/>
          <w:szCs w:val="30"/>
          <w:rFonts w:ascii="仿宋" w:hAnsi="仿宋" w:eastAsia="仿宋" w:hint="eastAsia"/>
        </w:rPr>
      </w:pPr>
      <w:r>
        <w:rPr>
          <w:sz w:val="32"/>
          <w:lang w:val="en-US" w:eastAsia="zh-CN"/>
          <w:szCs w:val="30"/>
          <w:rFonts w:ascii="仿宋" w:hAnsi="仿宋" w:eastAsia="仿宋" w:hint="eastAsia"/>
        </w:rPr>
        <w:t>4、</w:t>
      </w:r>
      <w:r>
        <w:rPr>
          <w:sz w:val="32"/>
          <w:szCs w:val="30"/>
          <w:rFonts w:ascii="仿宋" w:hAnsi="仿宋" w:eastAsia="仿宋" w:hint="eastAsia"/>
        </w:rPr>
        <w:t>一般公共服务支出（类）民族事务（款）其他民族事务支出（项）。年初预算为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8</w:t>
      </w:r>
      <w:r>
        <w:rPr>
          <w:sz w:val="32"/>
          <w:szCs w:val="30"/>
          <w:rFonts w:ascii="仿宋" w:hAnsi="仿宋" w:eastAsia="仿宋" w:hint="eastAsia"/>
        </w:rPr>
        <w:t>万元，支出决算为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7.54</w:t>
      </w:r>
      <w:r>
        <w:rPr>
          <w:sz w:val="32"/>
          <w:szCs w:val="30"/>
          <w:rFonts w:ascii="仿宋" w:hAnsi="仿宋" w:eastAsia="仿宋" w:hint="eastAsia"/>
        </w:rPr>
        <w:t>万元，完成年初预算的9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4</w:t>
      </w:r>
      <w:r>
        <w:rPr>
          <w:sz w:val="32"/>
          <w:szCs w:val="30"/>
          <w:rFonts w:ascii="仿宋" w:hAnsi="仿宋" w:eastAsia="仿宋" w:hint="eastAsia"/>
        </w:rPr>
        <w:t>%。决算数小于预算数的主要原因是</w:t>
      </w:r>
      <w:r>
        <w:rPr>
          <w:rStyle w:val="7"/>
          <w:sz w:val="32"/>
          <w:rFonts w:ascii="仿宋" w:hAnsi="仿宋" w:eastAsia="仿宋"/>
        </w:rPr>
        <w:t>正常预算差额</w:t>
      </w:r>
      <w:r>
        <w:rPr>
          <w:sz w:val="32"/>
          <w:szCs w:val="30"/>
          <w:rFonts w:ascii="仿宋" w:hAnsi="仿宋" w:eastAsia="仿宋" w:hint="eastAsia"/>
        </w:rPr>
        <w:t>。</w:t>
      </w:r>
    </w:p>
    <w:p w14:paraId="3D8FB35E">
      <w:pPr>
        <w:ind w:firstLine="640" w:firstLineChars="200" w:left="-283" w:leftChars="-135"/>
        <w:rPr>
          <w:rStyle w:val="7"/>
          <w:sz w:val="32"/>
          <w:rFonts w:ascii="仿宋" w:hAnsi="仿宋" w:eastAsia="仿宋"/>
        </w:rPr>
      </w:pPr>
      <w:r>
        <w:rPr>
          <w:sz w:val="32"/>
          <w:lang w:val="en-US" w:eastAsia="zh-CN"/>
          <w:szCs w:val="30"/>
          <w:rFonts w:ascii="仿宋" w:hAnsi="仿宋" w:eastAsia="仿宋" w:hint="eastAsia"/>
        </w:rPr>
        <w:t>5、</w:t>
      </w:r>
      <w:r>
        <w:rPr>
          <w:sz w:val="32"/>
          <w:szCs w:val="30"/>
          <w:rFonts w:ascii="仿宋" w:hAnsi="仿宋" w:eastAsia="仿宋" w:hint="eastAsia"/>
        </w:rPr>
        <w:t>社会保障和就业支出（类）临时救助（款）临时救助支出（项）。年初预算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10</w:t>
      </w:r>
      <w:r>
        <w:rPr>
          <w:sz w:val="32"/>
          <w:szCs w:val="30"/>
          <w:rFonts w:ascii="仿宋" w:hAnsi="仿宋" w:eastAsia="仿宋" w:hint="eastAsia"/>
        </w:rPr>
        <w:t>万元，支出决算为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8.23</w:t>
      </w:r>
      <w:r>
        <w:rPr>
          <w:sz w:val="32"/>
          <w:szCs w:val="30"/>
          <w:rFonts w:ascii="仿宋" w:hAnsi="仿宋" w:eastAsia="仿宋" w:hint="eastAsia"/>
        </w:rPr>
        <w:t>万元，完成年初预算的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82.3</w:t>
      </w:r>
      <w:r>
        <w:rPr>
          <w:sz w:val="32"/>
          <w:szCs w:val="30"/>
          <w:rFonts w:ascii="仿宋" w:hAnsi="仿宋" w:eastAsia="仿宋" w:hint="eastAsia"/>
        </w:rPr>
        <w:t>%。决算数小于预算数的主要原因是</w:t>
      </w:r>
      <w:r>
        <w:rPr>
          <w:rStyle w:val="7"/>
          <w:sz w:val="32"/>
          <w:rFonts w:ascii="仿宋" w:hAnsi="仿宋" w:eastAsia="仿宋"/>
        </w:rPr>
        <w:t>正常预算差额</w:t>
      </w:r>
    </w:p>
    <w:p w14:paraId="5D7C6BF8">
      <w:pPr>
        <w:ind w:firstLine="640" w:firstLineChars="200" w:left="-283" w:leftChars="-135"/>
        <w:rPr>
          <w:sz w:val="32"/>
          <w:szCs w:val="30"/>
          <w:rFonts w:ascii="仿宋" w:hAnsi="仿宋" w:eastAsia="仿宋" w:hint="eastAsia"/>
        </w:rPr>
      </w:pPr>
      <w:r>
        <w:rPr>
          <w:sz w:val="32"/>
          <w:lang w:val="en-US" w:eastAsia="zh-CN"/>
          <w:szCs w:val="30"/>
          <w:rFonts w:ascii="仿宋" w:hAnsi="仿宋" w:eastAsia="仿宋" w:hint="eastAsia"/>
        </w:rPr>
        <w:t>6、</w:t>
      </w:r>
      <w:r>
        <w:rPr>
          <w:sz w:val="32"/>
          <w:szCs w:val="30"/>
          <w:rFonts w:ascii="仿宋" w:hAnsi="仿宋" w:eastAsia="仿宋" w:hint="eastAsia"/>
        </w:rPr>
        <w:t>社会保障和就业支出（类）其他生活救助（款）其他城市生活救助支出（项）。年初预算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10</w:t>
      </w:r>
      <w:r>
        <w:rPr>
          <w:sz w:val="32"/>
          <w:szCs w:val="30"/>
          <w:rFonts w:ascii="仿宋" w:hAnsi="仿宋" w:eastAsia="仿宋" w:hint="eastAsia"/>
        </w:rPr>
        <w:t>万元，支出决算为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9.74</w:t>
      </w:r>
      <w:r>
        <w:rPr>
          <w:sz w:val="32"/>
          <w:szCs w:val="30"/>
          <w:rFonts w:ascii="仿宋" w:hAnsi="仿宋" w:eastAsia="仿宋" w:hint="eastAsia"/>
        </w:rPr>
        <w:t>万元，完成年初预算的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97.4</w:t>
      </w:r>
      <w:r>
        <w:rPr>
          <w:sz w:val="32"/>
          <w:szCs w:val="30"/>
          <w:rFonts w:ascii="仿宋" w:hAnsi="仿宋" w:eastAsia="仿宋" w:hint="eastAsia"/>
        </w:rPr>
        <w:t>%。决算数小于预算数的主要原因是</w:t>
      </w:r>
      <w:r>
        <w:rPr>
          <w:rStyle w:val="7"/>
          <w:sz w:val="32"/>
          <w:rFonts w:ascii="仿宋" w:hAnsi="仿宋" w:eastAsia="仿宋"/>
        </w:rPr>
        <w:t>正常预算差额</w:t>
      </w:r>
      <w:r>
        <w:rPr>
          <w:sz w:val="32"/>
          <w:szCs w:val="30"/>
          <w:rFonts w:ascii="仿宋" w:hAnsi="仿宋" w:eastAsia="仿宋" w:hint="eastAsia"/>
        </w:rPr>
        <w:t>。</w:t>
      </w:r>
    </w:p>
    <w:p w14:paraId="42B79CAD">
      <w:pPr>
        <w:ind w:firstLine="640" w:firstLineChars="200" w:left="-283" w:leftChars="-135"/>
        <w:rPr>
          <w:sz w:val="32"/>
          <w:szCs w:val="30"/>
          <w:rFonts w:ascii="仿宋" w:hAnsi="仿宋" w:eastAsia="仿宋" w:hint="eastAsia"/>
        </w:rPr>
      </w:pPr>
      <w:r>
        <w:rPr>
          <w:sz w:val="32"/>
          <w:lang w:val="en-US" w:eastAsia="zh-CN"/>
          <w:szCs w:val="30"/>
          <w:rFonts w:ascii="仿宋" w:hAnsi="仿宋" w:eastAsia="仿宋" w:hint="eastAsia"/>
        </w:rPr>
        <w:t>7</w:t>
      </w:r>
      <w:r>
        <w:rPr>
          <w:sz w:val="32"/>
          <w:szCs w:val="30"/>
          <w:rFonts w:ascii="仿宋" w:hAnsi="仿宋" w:eastAsia="仿宋" w:hint="eastAsia"/>
        </w:rPr>
        <w:t>一般公共服务支出（类）民族事务（款）其他民族事务支出（项）。年初预算为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7.8</w:t>
      </w:r>
      <w:r>
        <w:rPr>
          <w:sz w:val="32"/>
          <w:szCs w:val="30"/>
          <w:rFonts w:ascii="仿宋" w:hAnsi="仿宋" w:eastAsia="仿宋" w:hint="eastAsia"/>
        </w:rPr>
        <w:t>万元，支出决算为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7.54</w:t>
      </w:r>
      <w:r>
        <w:rPr>
          <w:sz w:val="32"/>
          <w:szCs w:val="30"/>
          <w:rFonts w:ascii="仿宋" w:hAnsi="仿宋" w:eastAsia="仿宋" w:hint="eastAsia"/>
        </w:rPr>
        <w:t>万元，完成年初预算的9</w:t>
      </w:r>
      <w:r>
        <w:rPr>
          <w:sz w:val="32"/>
          <w:lang w:val="en-US" w:eastAsia="zh-CN"/>
          <w:szCs w:val="30"/>
          <w:rFonts w:ascii="仿宋" w:hAnsi="仿宋" w:eastAsia="仿宋" w:hint="eastAsia"/>
        </w:rPr>
        <w:t>7</w:t>
      </w:r>
      <w:r>
        <w:rPr>
          <w:sz w:val="32"/>
          <w:szCs w:val="30"/>
          <w:rFonts w:ascii="仿宋" w:hAnsi="仿宋" w:eastAsia="仿宋" w:hint="eastAsia"/>
        </w:rPr>
        <w:t>%。决算数小于预算数的主要原因是</w:t>
      </w:r>
      <w:r>
        <w:rPr>
          <w:rStyle w:val="7"/>
          <w:sz w:val="32"/>
          <w:rFonts w:ascii="仿宋" w:hAnsi="仿宋" w:eastAsia="仿宋"/>
        </w:rPr>
        <w:t>正常预算差额</w:t>
      </w:r>
      <w:r>
        <w:rPr>
          <w:sz w:val="32"/>
          <w:szCs w:val="30"/>
          <w:rFonts w:ascii="仿宋" w:hAnsi="仿宋" w:eastAsia="仿宋" w:hint="eastAsia"/>
        </w:rPr>
        <w:t>。</w:t>
      </w:r>
    </w:p>
    <w:p w14:paraId="7F7690CA">
      <w:pPr>
        <w:ind w:firstLine="640" w:firstLineChars="200" w:left="-283" w:leftChars="-135"/>
        <w:rPr>
          <w:sz w:val="32"/>
          <w:lang w:val="en-US" w:eastAsia="zh-CN"/>
          <w:szCs w:val="30"/>
          <w:rFonts w:ascii="仿宋" w:hAnsi="仿宋" w:eastAsia="仿宋" w:hint="eastAsia"/>
        </w:rPr>
      </w:pPr>
      <w:r>
        <w:rPr>
          <w:sz w:val="32"/>
          <w:lang w:val="en-US" w:eastAsia="zh-CN"/>
          <w:szCs w:val="30"/>
          <w:rFonts w:ascii="仿宋" w:hAnsi="仿宋" w:eastAsia="仿宋" w:hint="eastAsia"/>
        </w:rPr>
        <w:t>、</w:t>
      </w:r>
    </w:p>
    <w:p w14:paraId="61DD5CF0">
      <w:pPr>
        <w:widowControl w:val="1"/>
        <w:keepNext w:val="0"/>
        <w:keepLines w:val="0"/>
        <w:jc w:val="left"/>
        <w:suppressLineNumbers w:val="0"/>
        <w:rPr>
          <w:color w:val="000000"/>
          <w:sz w:val="31"/>
          <w:lang w:val="en-US" w:eastAsia="zh-CN" w:bidi="ar"/>
          <w:kern w:val="0"/>
          <w:szCs w:val="31"/>
          <w:rFonts w:ascii="仿宋" w:hAnsi="仿宋" w:eastAsia="仿宋" w:cs="仿宋" w:hint="eastAsia"/>
        </w:rPr>
      </w:pPr>
    </w:p>
    <w:p w14:paraId="7B0A1E01">
      <w:pPr>
        <w:jc w:val="both"/>
        <w:spacing w:before="251" w:line="364" w:lineRule="auto"/>
        <w:ind w:firstLine="603" w:left="68" w:right="7"/>
        <w:rPr>
          <w:spacing w:val="-6"/>
          <w:sz w:val="31"/>
          <w:lang w:eastAsia="zh-CN"/>
          <w:szCs w:val="31"/>
          <w:rFonts w:ascii="仿宋" w:hAnsi="仿宋" w:eastAsia="仿宋" w:cs="仿宋" w:hint="eastAsia"/>
        </w:rPr>
      </w:pPr>
    </w:p>
    <w:p w14:paraId="678D9230">
      <w:pPr>
        <w:spacing w:before="49" w:line="356" w:lineRule="auto"/>
        <w:ind w:firstLine="645" w:left="29" w:right="91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注：请按支出功能分类科目的类级科目逐一说明；可做</w:t>
      </w:r>
      <w:r>
        <w:rPr>
          <w:color w:val="FF0000"/>
          <w:spacing w:val="11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4"/>
          <w:sz w:val="31"/>
          <w:szCs w:val="31"/>
          <w:rFonts w:ascii="仿宋" w:hAnsi="仿宋" w:eastAsia="仿宋" w:cs="仿宋"/>
        </w:rPr>
        <w:t>柱形图或饼形图进行分析对比。</w:t>
      </w:r>
    </w:p>
    <w:p w14:paraId="393BE2C7">
      <w:pPr>
        <w:outlineLvl w:val="2"/>
        <w:spacing w:before="52" w:line="223" w:lineRule="auto"/>
        <w:ind w:left="659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4"/>
          <w:sz w:val="31"/>
          <w:bCs/>
          <w:szCs w:val="31"/>
          <w:rFonts w:ascii="仿宋" w:hAnsi="仿宋" w:eastAsia="仿宋" w:cs="仿宋"/>
        </w:rPr>
        <w:t>（三）</w:t>
      </w:r>
      <w:r>
        <w:rPr>
          <w:spacing w:val="-80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4"/>
          <w:sz w:val="31"/>
          <w:bCs/>
          <w:szCs w:val="31"/>
          <w:rFonts w:ascii="仿宋" w:hAnsi="仿宋" w:eastAsia="仿宋" w:cs="仿宋"/>
        </w:rPr>
        <w:t>一般公共预算财政拨款支出决算具体情况</w:t>
      </w:r>
    </w:p>
    <w:p w14:paraId="5134584E">
      <w:pPr>
        <w:spacing w:before="248" w:line="357" w:lineRule="auto"/>
        <w:ind w:firstLine="633" w:left="38" w:right="86"/>
        <w:rPr>
          <w:sz w:val="31"/>
          <w:szCs w:val="31"/>
          <w:rFonts w:ascii="仿宋" w:hAnsi="仿宋" w:eastAsia="仿宋" w:cs="仿宋"/>
        </w:rPr>
      </w:pPr>
      <w:r>
        <w:rPr>
          <w:spacing w:val="12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12"/>
          <w:sz w:val="31"/>
          <w:szCs w:val="31"/>
          <w:rFonts w:ascii="仿宋" w:hAnsi="仿宋" w:eastAsia="仿宋" w:cs="仿宋"/>
        </w:rPr>
        <w:t>年度一般公共预算财政拨款支出年初预算为</w:t>
      </w:r>
      <w:r>
        <w:rPr>
          <w:spacing w:val="33"/>
          <w:sz w:val="31"/>
          <w:lang w:val="en-US" w:eastAsia="zh-CN"/>
          <w:szCs w:val="31"/>
          <w:rFonts w:ascii="仿宋" w:hAnsi="仿宋" w:eastAsia="仿宋" w:cs="仿宋" w:hint="eastAsia"/>
        </w:rPr>
        <w:t>3691</w:t>
      </w:r>
      <w:r>
        <w:rPr>
          <w:spacing w:val="12"/>
          <w:sz w:val="31"/>
          <w:szCs w:val="31"/>
          <w:rFonts w:ascii="仿宋" w:hAnsi="仿宋" w:eastAsia="仿宋" w:cs="仿宋"/>
        </w:rPr>
        <w:t>万</w:t>
      </w:r>
      <w:r>
        <w:rPr>
          <w:spacing w:val="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元，支出决算为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3508</w:t>
      </w:r>
      <w:r>
        <w:rPr>
          <w:spacing w:val="4"/>
          <w:sz w:val="31"/>
          <w:szCs w:val="31"/>
          <w:rFonts w:ascii="仿宋" w:hAnsi="仿宋" w:eastAsia="仿宋" w:cs="仿宋"/>
        </w:rPr>
        <w:t>万元，完成年初预算的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95</w:t>
      </w:r>
      <w:r>
        <w:rPr>
          <w:spacing w:val="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宋体" w:hAnsi="宋体" w:eastAsia="宋体" w:cs="宋体"/>
        </w:rPr>
        <w:t>%</w:t>
      </w:r>
      <w:r>
        <w:rPr>
          <w:spacing w:val="4"/>
          <w:sz w:val="31"/>
          <w:szCs w:val="31"/>
          <w:rFonts w:ascii="仿宋" w:hAnsi="仿宋" w:eastAsia="仿宋" w:cs="仿宋"/>
        </w:rPr>
        <w:t>。其中：</w:t>
      </w:r>
    </w:p>
    <w:p w14:paraId="07E0BE43">
      <w:pPr>
        <w:spacing w:before="54" w:line="361" w:lineRule="auto"/>
        <w:ind w:firstLine="660" w:left="30"/>
        <w:rPr>
          <w:sz w:val="31"/>
          <w:szCs w:val="31"/>
          <w:rFonts w:ascii="仿宋" w:hAnsi="仿宋" w:eastAsia="仿宋" w:cs="仿宋"/>
        </w:rPr>
      </w:pPr>
      <w:r>
        <w:rPr>
          <w:spacing w:val="-12"/>
          <w:sz w:val="31"/>
          <w:szCs w:val="31"/>
          <w:rFonts w:ascii="宋体" w:hAnsi="宋体" w:eastAsia="宋体" w:cs="宋体"/>
        </w:rPr>
        <w:t>1.</w:t>
      </w:r>
      <w:r>
        <w:rPr>
          <w:spacing w:val="-12"/>
          <w:sz w:val="31"/>
          <w:szCs w:val="31"/>
          <w:rFonts w:ascii="仿宋" w:hAnsi="仿宋" w:eastAsia="仿宋" w:cs="仿宋"/>
        </w:rPr>
        <w:t>一般公共服务（类）</w:t>
      </w:r>
      <w:r>
        <w:rPr>
          <w:spacing w:val="-4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2"/>
          <w:sz w:val="31"/>
          <w:szCs w:val="31"/>
          <w:rFonts w:ascii="仿宋" w:hAnsi="仿宋" w:eastAsia="仿宋" w:cs="仿宋"/>
        </w:rPr>
        <w:t>财政事务（款）</w:t>
      </w:r>
      <w:r>
        <w:rPr>
          <w:spacing w:val="-6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2"/>
          <w:sz w:val="31"/>
          <w:szCs w:val="31"/>
          <w:rFonts w:ascii="仿宋" w:hAnsi="仿宋" w:eastAsia="仿宋" w:cs="仿宋"/>
        </w:rPr>
        <w:t>行政运行（项）</w:t>
      </w:r>
      <w:r>
        <w:rPr>
          <w:spacing w:val="-8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2"/>
          <w:sz w:val="31"/>
          <w:szCs w:val="31"/>
          <w:rFonts w:ascii="仿宋" w:hAnsi="仿宋" w:eastAsia="仿宋" w:cs="仿宋"/>
        </w:rPr>
        <w:t>。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0"/>
          <w:sz w:val="31"/>
          <w:szCs w:val="31"/>
          <w:rFonts w:ascii="仿宋" w:hAnsi="仿宋" w:eastAsia="仿宋" w:cs="仿宋"/>
        </w:rPr>
        <w:t>年初预算为</w:t>
      </w:r>
      <w:r>
        <w:rPr>
          <w:spacing w:val="59"/>
          <w:sz w:val="31"/>
          <w:lang w:val="en-US" w:eastAsia="zh-CN"/>
          <w:szCs w:val="31"/>
          <w:rFonts w:ascii="仿宋" w:hAnsi="仿宋" w:eastAsia="仿宋" w:cs="仿宋" w:hint="eastAsia"/>
        </w:rPr>
        <w:t>3400</w:t>
      </w:r>
      <w:r>
        <w:rPr>
          <w:spacing w:val="20"/>
          <w:sz w:val="31"/>
          <w:szCs w:val="31"/>
          <w:rFonts w:ascii="仿宋" w:hAnsi="仿宋" w:eastAsia="仿宋" w:cs="仿宋"/>
        </w:rPr>
        <w:t>万元，</w:t>
      </w:r>
      <w:r>
        <w:rPr>
          <w:spacing w:val="-7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0"/>
          <w:sz w:val="31"/>
          <w:szCs w:val="31"/>
          <w:rFonts w:ascii="仿宋" w:hAnsi="仿宋" w:eastAsia="仿宋" w:cs="仿宋"/>
        </w:rPr>
        <w:t>支出决算为</w:t>
      </w:r>
      <w:r>
        <w:rPr>
          <w:spacing w:val="58"/>
          <w:sz w:val="31"/>
          <w:lang w:val="en-US" w:eastAsia="zh-CN"/>
          <w:szCs w:val="31"/>
          <w:rFonts w:ascii="仿宋" w:hAnsi="仿宋" w:eastAsia="仿宋" w:cs="仿宋" w:hint="eastAsia"/>
        </w:rPr>
        <w:t>1119.92</w:t>
      </w:r>
      <w:r>
        <w:rPr>
          <w:spacing w:val="20"/>
          <w:sz w:val="31"/>
          <w:szCs w:val="31"/>
          <w:rFonts w:ascii="仿宋" w:hAnsi="仿宋" w:eastAsia="仿宋" w:cs="仿宋"/>
        </w:rPr>
        <w:t>万元，</w:t>
      </w:r>
      <w:r>
        <w:rPr>
          <w:spacing w:val="-6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0"/>
          <w:sz w:val="31"/>
          <w:szCs w:val="31"/>
          <w:rFonts w:ascii="仿宋" w:hAnsi="仿宋" w:eastAsia="仿宋" w:cs="仿宋"/>
        </w:rPr>
        <w:t>完成年初预算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的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33</w:t>
      </w:r>
      <w:r>
        <w:rPr>
          <w:spacing w:val="4"/>
          <w:sz w:val="31"/>
          <w:szCs w:val="31"/>
          <w:rFonts w:ascii="宋体" w:hAnsi="宋体" w:eastAsia="宋体" w:cs="宋体"/>
        </w:rPr>
        <w:t>%</w:t>
      </w:r>
      <w:r>
        <w:rPr>
          <w:spacing w:val="4"/>
          <w:sz w:val="31"/>
          <w:szCs w:val="31"/>
          <w:rFonts w:ascii="仿宋" w:hAnsi="仿宋" w:eastAsia="仿宋" w:cs="仿宋"/>
        </w:rPr>
        <w:t>。决算数大（小）于预算数的主要原因</w:t>
      </w:r>
      <w:r>
        <w:rPr>
          <w:spacing w:val="4"/>
          <w:sz w:val="31"/>
          <w:lang w:eastAsia="zh-CN"/>
          <w:szCs w:val="31"/>
          <w:rFonts w:ascii="仿宋" w:hAnsi="仿宋" w:eastAsia="仿宋" w:cs="仿宋" w:hint="eastAsia"/>
        </w:rPr>
        <w:t>是办公费支出减少。。</w:t>
      </w:r>
    </w:p>
    <w:p w14:paraId="4F7AF31E">
      <w:pPr>
        <w:widowControl w:val="1"/>
        <w:keepNext w:val="0"/>
        <w:keepLines w:val="0"/>
        <w:jc w:val="left"/>
        <w:suppressLineNumbers w:val="0"/>
        <w:rPr>
          <w:lang w:eastAsia="zh-CN"/>
          <w:rFonts w:eastAsia="仿宋" w:hint="eastAsia"/>
        </w:rPr>
      </w:pPr>
      <w:r>
        <w:rPr>
          <w:spacing w:val="-6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67"/>
          <w:sz w:val="31"/>
          <w:lang w:val="en-US" w:eastAsia="zh-CN"/>
          <w:szCs w:val="31"/>
          <w:rFonts w:ascii="仿宋" w:hAnsi="仿宋" w:eastAsia="仿宋" w:cs="仿宋" w:hint="eastAsia"/>
        </w:rPr>
        <w:t>2、项目预算</w:t>
      </w:r>
      <w:r>
        <w:rPr>
          <w:spacing w:val="3"/>
          <w:sz w:val="31"/>
          <w:szCs w:val="31"/>
          <w:rFonts w:ascii="仿宋" w:hAnsi="仿宋" w:eastAsia="仿宋" w:cs="仿宋"/>
        </w:rPr>
        <w:t>为</w:t>
      </w:r>
      <w:r>
        <w:rPr>
          <w:spacing w:val="30"/>
          <w:sz w:val="31"/>
          <w:lang w:val="en-US" w:eastAsia="zh-CN"/>
          <w:szCs w:val="31"/>
          <w:rFonts w:ascii="仿宋" w:hAnsi="仿宋" w:eastAsia="仿宋" w:cs="仿宋" w:hint="eastAsia"/>
        </w:rPr>
        <w:t>291</w:t>
      </w:r>
      <w:r>
        <w:rPr>
          <w:spacing w:val="3"/>
          <w:sz w:val="31"/>
          <w:szCs w:val="31"/>
          <w:rFonts w:ascii="仿宋" w:hAnsi="仿宋" w:eastAsia="仿宋" w:cs="仿宋"/>
        </w:rPr>
        <w:t>万元，</w:t>
      </w:r>
      <w:r>
        <w:rPr>
          <w:spacing w:val="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13"/>
          <w:sz w:val="31"/>
          <w:szCs w:val="31"/>
          <w:rFonts w:ascii="仿宋" w:hAnsi="仿宋" w:eastAsia="仿宋" w:cs="仿宋"/>
        </w:rPr>
        <w:t>支出决算为</w:t>
      </w:r>
      <w:r>
        <w:rPr>
          <w:spacing w:val="13"/>
          <w:sz w:val="31"/>
          <w:lang w:val="en-US" w:eastAsia="zh-CN"/>
          <w:szCs w:val="31"/>
          <w:rFonts w:ascii="仿宋" w:hAnsi="仿宋" w:eastAsia="仿宋" w:cs="仿宋" w:hint="eastAsia"/>
        </w:rPr>
        <w:t>2388.68</w:t>
      </w:r>
      <w:r>
        <w:rPr>
          <w:spacing w:val="13"/>
          <w:sz w:val="31"/>
          <w:szCs w:val="31"/>
          <w:rFonts w:ascii="仿宋" w:hAnsi="仿宋" w:eastAsia="仿宋" w:cs="仿宋"/>
        </w:rPr>
        <w:t>万元，完成年初预算的</w:t>
      </w:r>
      <w:r>
        <w:rPr>
          <w:spacing w:val="13"/>
          <w:sz w:val="31"/>
          <w:lang w:val="en-US" w:eastAsia="zh-CN"/>
          <w:szCs w:val="31"/>
          <w:rFonts w:ascii="仿宋" w:hAnsi="仿宋" w:eastAsia="仿宋" w:cs="仿宋" w:hint="eastAsia"/>
        </w:rPr>
        <w:t>720</w:t>
      </w:r>
      <w:r>
        <w:rPr>
          <w:spacing w:val="13"/>
          <w:sz w:val="31"/>
          <w:szCs w:val="31"/>
          <w:rFonts w:ascii="宋体" w:hAnsi="宋体" w:eastAsia="宋体" w:cs="宋体"/>
        </w:rPr>
        <w:t>%</w:t>
      </w:r>
      <w:r>
        <w:rPr>
          <w:spacing w:val="13"/>
          <w:sz w:val="31"/>
          <w:szCs w:val="31"/>
          <w:rFonts w:ascii="仿宋" w:hAnsi="仿宋" w:eastAsia="仿宋" w:cs="仿宋"/>
        </w:rPr>
        <w:t>。</w:t>
      </w:r>
      <w:r>
        <w:rPr>
          <w:spacing w:val="13"/>
          <w:sz w:val="31"/>
          <w:lang w:eastAsia="zh-CN"/>
          <w:szCs w:val="31"/>
          <w:rFonts w:ascii="仿宋" w:hAnsi="仿宋" w:eastAsia="仿宋" w:cs="仿宋" w:hint="eastAsia"/>
        </w:rPr>
        <w:t>增加原因为街道办公用房装修增加支出。</w:t>
      </w:r>
    </w:p>
    <w:p w14:paraId="3A7240E5">
      <w:pPr>
        <w:spacing w:before="160" w:line="357" w:lineRule="auto"/>
        <w:ind w:right="90"/>
      </w:pPr>
    </w:p>
    <w:p w14:paraId="40D8BC06">
      <w:pPr>
        <w:pStyle w:val="2"/>
        <w:spacing w:line="256" w:lineRule="auto"/>
      </w:pPr>
    </w:p>
    <w:p w14:paraId="60ED966F">
      <w:pPr>
        <w:spacing w:before="101" w:line="224" w:lineRule="auto"/>
        <w:ind w:left="677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六、一般公共预算财政拨款基本支出决算情况说明</w:t>
      </w:r>
    </w:p>
    <w:p w14:paraId="093B6885">
      <w:pPr>
        <w:spacing w:before="247" w:line="357" w:lineRule="auto"/>
        <w:ind w:firstLine="607" w:left="64" w:right="96"/>
        <w:rPr>
          <w:sz w:val="31"/>
          <w:szCs w:val="31"/>
          <w:rFonts w:ascii="仿宋" w:hAnsi="仿宋" w:eastAsia="仿宋" w:cs="仿宋"/>
        </w:rPr>
      </w:pPr>
      <w:r>
        <w:rPr>
          <w:spacing w:val="12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12"/>
          <w:sz w:val="31"/>
          <w:szCs w:val="31"/>
          <w:rFonts w:ascii="仿宋" w:hAnsi="仿宋" w:eastAsia="仿宋" w:cs="仿宋"/>
        </w:rPr>
        <w:t>年度一般公共预算财政拨款基本支出</w:t>
      </w:r>
      <w:r>
        <w:rPr>
          <w:spacing w:val="33"/>
          <w:sz w:val="31"/>
          <w:lang w:val="en-US" w:eastAsia="zh-CN"/>
          <w:szCs w:val="31"/>
          <w:rFonts w:ascii="仿宋" w:hAnsi="仿宋" w:eastAsia="仿宋" w:cs="仿宋" w:hint="eastAsia"/>
        </w:rPr>
        <w:t>1119.4</w:t>
      </w:r>
      <w:r>
        <w:rPr>
          <w:spacing w:val="12"/>
          <w:sz w:val="31"/>
          <w:szCs w:val="31"/>
          <w:rFonts w:ascii="仿宋" w:hAnsi="仿宋" w:eastAsia="仿宋" w:cs="仿宋"/>
        </w:rPr>
        <w:t>万元，其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0"/>
          <w:sz w:val="31"/>
          <w:szCs w:val="31"/>
          <w:rFonts w:ascii="仿宋" w:hAnsi="仿宋" w:eastAsia="仿宋" w:cs="仿宋"/>
        </w:rPr>
        <w:t>中：</w:t>
      </w:r>
    </w:p>
    <w:p w14:paraId="672512E3">
      <w:pPr>
        <w:jc w:val="both"/>
        <w:spacing w:before="53" w:line="367" w:lineRule="auto"/>
        <w:ind w:firstLine="643" w:left="29" w:right="98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人员经费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770.93</w:t>
      </w: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万元</w:t>
      </w:r>
      <w:r>
        <w:rPr>
          <w:spacing w:val="7"/>
          <w:sz w:val="31"/>
          <w:szCs w:val="31"/>
          <w:rFonts w:ascii="仿宋" w:hAnsi="仿宋" w:eastAsia="仿宋" w:cs="仿宋"/>
        </w:rPr>
        <w:t>，主要包括：基本工资、津贴补贴、奖</w:t>
      </w:r>
      <w:r>
        <w:rPr>
          <w:spacing w:val="1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金、伙食补助费、绩效工资、机关事业单位基</w:t>
      </w:r>
      <w:r>
        <w:rPr>
          <w:spacing w:val="8"/>
          <w:sz w:val="31"/>
          <w:szCs w:val="31"/>
          <w:rFonts w:ascii="仿宋" w:hAnsi="仿宋" w:eastAsia="仿宋" w:cs="仿宋"/>
        </w:rPr>
        <w:t>本养老保险缴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费、职业年金缴费、职工基本医疗保险缴费</w:t>
      </w:r>
      <w:r>
        <w:rPr>
          <w:spacing w:val="8"/>
          <w:sz w:val="31"/>
          <w:szCs w:val="31"/>
          <w:rFonts w:ascii="仿宋" w:hAnsi="仿宋" w:eastAsia="仿宋" w:cs="仿宋"/>
        </w:rPr>
        <w:t>、公务员医疗补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助缴费、其他社会保障缴费、住房公积金、医疗费、</w:t>
      </w:r>
      <w:r>
        <w:rPr>
          <w:spacing w:val="-5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其他工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"/>
          <w:sz w:val="31"/>
          <w:szCs w:val="31"/>
          <w:rFonts w:ascii="仿宋" w:hAnsi="仿宋" w:eastAsia="仿宋" w:cs="仿宋"/>
        </w:rPr>
        <w:t>资福利支出、离休费、退休费、退职（役） 费</w:t>
      </w:r>
      <w:r>
        <w:rPr>
          <w:spacing w:val="2"/>
          <w:sz w:val="31"/>
          <w:szCs w:val="31"/>
          <w:rFonts w:ascii="仿宋" w:hAnsi="仿宋" w:eastAsia="仿宋" w:cs="仿宋"/>
        </w:rPr>
        <w:t>、抚恤金、生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活补助、救济费、医疗费补助、助学金、奖励金、个</w:t>
      </w:r>
      <w:r>
        <w:rPr>
          <w:spacing w:val="8"/>
          <w:sz w:val="31"/>
          <w:szCs w:val="31"/>
          <w:rFonts w:ascii="仿宋" w:hAnsi="仿宋" w:eastAsia="仿宋" w:cs="仿宋"/>
        </w:rPr>
        <w:t>人农业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生产补贴、代缴社会保险费和其他对个人和家庭</w:t>
      </w:r>
      <w:r>
        <w:rPr>
          <w:spacing w:val="8"/>
          <w:sz w:val="31"/>
          <w:szCs w:val="31"/>
          <w:rFonts w:ascii="仿宋" w:hAnsi="仿宋" w:eastAsia="仿宋" w:cs="仿宋"/>
        </w:rPr>
        <w:t>的补助。</w:t>
      </w:r>
    </w:p>
    <w:p w14:paraId="0B2FC9DA">
      <w:pPr>
        <w:spacing w:before="52" w:line="222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6"/>
          <w:sz w:val="31"/>
          <w:szCs w:val="31"/>
          <w:rFonts w:ascii="仿宋" w:hAnsi="仿宋" w:eastAsia="仿宋" w:cs="仿宋"/>
        </w:rPr>
        <w:t>注：上述科目可根据本部门情况增减。</w:t>
      </w:r>
    </w:p>
    <w:p w14:paraId="50783696">
      <w:pPr>
        <w:spacing w:before="254" w:line="367" w:lineRule="auto"/>
        <w:ind w:firstLine="641" w:left="26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-1"/>
          <w:sz w:val="31"/>
          <w:bCs/>
          <w:szCs w:val="31"/>
          <w:rFonts w:ascii="仿宋" w:hAnsi="仿宋" w:eastAsia="仿宋" w:cs="仿宋"/>
        </w:rPr>
        <w:t>公用经费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348.98</w:t>
      </w:r>
      <w:r>
        <w:rPr>
          <w:b w:val="1"/>
          <w:spacing w:val="-1"/>
          <w:sz w:val="31"/>
          <w:bCs/>
          <w:szCs w:val="31"/>
          <w:rFonts w:ascii="仿宋" w:hAnsi="仿宋" w:eastAsia="仿宋" w:cs="仿宋"/>
        </w:rPr>
        <w:t>万元</w:t>
      </w:r>
      <w:r>
        <w:rPr>
          <w:spacing w:val="-1"/>
          <w:sz w:val="31"/>
          <w:szCs w:val="31"/>
          <w:rFonts w:ascii="仿宋" w:hAnsi="仿宋" w:eastAsia="仿宋" w:cs="仿宋"/>
        </w:rPr>
        <w:t>，主要包括：办公费、印刷费、咨询费、</w:t>
      </w:r>
      <w:r>
        <w:rPr>
          <w:spacing w:val="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手续费、水费、电费、邮电费、取暖费、物业</w:t>
      </w:r>
      <w:r>
        <w:rPr>
          <w:spacing w:val="8"/>
          <w:sz w:val="31"/>
          <w:szCs w:val="31"/>
          <w:rFonts w:ascii="仿宋" w:hAnsi="仿宋" w:eastAsia="仿宋" w:cs="仿宋"/>
        </w:rPr>
        <w:t>管理费、差旅</w:t>
      </w:r>
      <w:r>
        <w:rPr>
          <w:sz w:val="31"/>
          <w:szCs w:val="31"/>
          <w:rFonts w:ascii="仿宋" w:hAnsi="仿宋" w:eastAsia="仿宋" w:cs="仿宋"/>
        </w:rPr>
        <w:t xml:space="preserve"> 费、因公出国（境）费、维修（护）费、租赁</w:t>
      </w:r>
      <w:r>
        <w:rPr>
          <w:spacing w:val="-1"/>
          <w:sz w:val="31"/>
          <w:szCs w:val="31"/>
          <w:rFonts w:ascii="仿宋" w:hAnsi="仿宋" w:eastAsia="仿宋" w:cs="仿宋"/>
        </w:rPr>
        <w:t>费、</w:t>
      </w:r>
      <w:r>
        <w:rPr>
          <w:spacing w:val="8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会议费、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培训费、公务接待费、专用材料费、被装购置费、专</w:t>
      </w:r>
      <w:r>
        <w:rPr>
          <w:spacing w:val="8"/>
          <w:sz w:val="31"/>
          <w:szCs w:val="31"/>
          <w:rFonts w:ascii="仿宋" w:hAnsi="仿宋" w:eastAsia="仿宋" w:cs="仿宋"/>
        </w:rPr>
        <w:t>用燃料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费、劳务费、委托业务费、工会经费、福利费、公</w:t>
      </w:r>
      <w:r>
        <w:rPr>
          <w:spacing w:val="8"/>
          <w:sz w:val="31"/>
          <w:szCs w:val="31"/>
          <w:rFonts w:ascii="仿宋" w:hAnsi="仿宋" w:eastAsia="仿宋" w:cs="仿宋"/>
        </w:rPr>
        <w:t>务用车运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行维护费、其他交通费用、税金及附加费用、其</w:t>
      </w:r>
      <w:r>
        <w:rPr>
          <w:spacing w:val="8"/>
          <w:sz w:val="31"/>
          <w:szCs w:val="31"/>
          <w:rFonts w:ascii="仿宋" w:hAnsi="仿宋" w:eastAsia="仿宋" w:cs="仿宋"/>
        </w:rPr>
        <w:t>他商品和服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务支出、房屋建筑物购建、办公设备购置、专用设备购</w:t>
      </w:r>
      <w:r>
        <w:rPr>
          <w:spacing w:val="8"/>
          <w:sz w:val="31"/>
          <w:szCs w:val="31"/>
          <w:rFonts w:ascii="仿宋" w:hAnsi="仿宋" w:eastAsia="仿宋" w:cs="仿宋"/>
        </w:rPr>
        <w:t>置、</w:t>
      </w:r>
    </w:p>
    <w:p w14:paraId="5D585B78">
      <w:pPr>
        <w:spacing w:line="367" w:lineRule="auto"/>
        <w:rPr>
          <w:sz w:val="31"/>
          <w:szCs w:val="31"/>
          <w:rFonts w:ascii="仿宋" w:hAnsi="仿宋" w:eastAsia="仿宋" w:cs="仿宋"/>
        </w:rPr>
        <w:sectPr>
          <w:footerReference r:id="rId12" w:type="default"/>
          <w:docGrid w:type="default" w:charSpace="0"/>
          <w:pgSz w:w="11907" w:h="16839"/>
          <w:pgMar w:top="1431" w:right="1699" w:bottom="1153" w:left="1785" w:header="0" w:footer="965" w:gutter="0"/>
          <w:cols w:space="720" w:num="1"/>
        </w:sectPr>
      </w:pPr>
    </w:p>
    <w:p w14:paraId="128F488B">
      <w:pPr>
        <w:spacing w:before="158" w:line="356" w:lineRule="auto"/>
        <w:ind w:hanging="18" w:left="39" w:right="161"/>
        <w:rPr>
          <w:sz w:val="31"/>
          <w:szCs w:val="31"/>
          <w:rFonts w:ascii="仿宋" w:hAnsi="仿宋" w:eastAsia="仿宋" w:cs="仿宋"/>
        </w:rPr>
      </w:pPr>
      <w:r>
        <w:rPr>
          <w:spacing w:val="9"/>
          <w:sz w:val="31"/>
          <w:szCs w:val="31"/>
          <w:rFonts w:ascii="仿宋" w:hAnsi="仿宋" w:eastAsia="仿宋" w:cs="仿宋"/>
        </w:rPr>
        <w:t>基础设施建设、大型修缮、信息网络及软件购置更新、其他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资本性支出</w:t>
      </w:r>
    </w:p>
    <w:p w14:paraId="3959FB16">
      <w:pPr>
        <w:spacing w:before="53" w:line="222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6"/>
          <w:sz w:val="31"/>
          <w:szCs w:val="31"/>
          <w:rFonts w:ascii="仿宋" w:hAnsi="仿宋" w:eastAsia="仿宋" w:cs="仿宋"/>
        </w:rPr>
        <w:t>注：上述科目可根据本部门情况增减。</w:t>
      </w:r>
    </w:p>
    <w:p w14:paraId="0E3677D6">
      <w:pPr>
        <w:pStyle w:val="2"/>
        <w:spacing w:line="256" w:lineRule="auto"/>
      </w:pPr>
    </w:p>
    <w:p w14:paraId="63666D74">
      <w:pPr>
        <w:pStyle w:val="2"/>
        <w:spacing w:line="256" w:lineRule="auto"/>
      </w:pPr>
    </w:p>
    <w:p w14:paraId="1F162806">
      <w:pPr>
        <w:pStyle w:val="2"/>
        <w:spacing w:line="256" w:lineRule="auto"/>
      </w:pPr>
    </w:p>
    <w:p w14:paraId="23C39385">
      <w:pPr>
        <w:spacing w:before="101" w:line="224" w:lineRule="auto"/>
        <w:ind w:left="505"/>
        <w:rPr>
          <w:sz w:val="31"/>
          <w:szCs w:val="31"/>
          <w:rFonts w:ascii="黑体" w:hAnsi="黑体" w:eastAsia="黑体" w:cs="黑体"/>
        </w:rPr>
      </w:pPr>
      <w:r>
        <w:rPr>
          <w:spacing w:val="9"/>
          <w:sz w:val="31"/>
          <w:szCs w:val="31"/>
          <w:rFonts w:ascii="黑体" w:hAnsi="黑体" w:eastAsia="黑体" w:cs="黑体"/>
        </w:rPr>
        <w:t>七、政府性基金预算财政拨款收入支出决算</w:t>
      </w:r>
      <w:r>
        <w:rPr>
          <w:spacing w:val="8"/>
          <w:sz w:val="31"/>
          <w:szCs w:val="31"/>
          <w:rFonts w:ascii="黑体" w:hAnsi="黑体" w:eastAsia="黑体" w:cs="黑体"/>
        </w:rPr>
        <w:t>情况说明</w:t>
      </w:r>
    </w:p>
    <w:p w14:paraId="52F4B458">
      <w:pPr>
        <w:spacing w:before="246" w:line="366" w:lineRule="auto"/>
        <w:ind w:firstLine="474" w:left="38"/>
        <w:rPr>
          <w:sz w:val="31"/>
          <w:lang w:eastAsia="zh-CN"/>
          <w:szCs w:val="31"/>
          <w:rFonts w:ascii="仿宋" w:hAnsi="仿宋" w:eastAsia="宋体" w:cs="仿宋" w:hint="eastAsia"/>
        </w:rPr>
      </w:pPr>
      <w:r>
        <w:rPr>
          <w:spacing w:val="33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33"/>
          <w:sz w:val="31"/>
          <w:szCs w:val="31"/>
          <w:rFonts w:ascii="仿宋" w:hAnsi="仿宋" w:eastAsia="仿宋" w:cs="仿宋"/>
        </w:rPr>
        <w:t>年度政府性基金预算财政拨款年初结转和结余</w:t>
      </w:r>
      <w:r>
        <w:rPr>
          <w:sz w:val="31"/>
          <w:szCs w:val="31"/>
          <w:rFonts w:ascii="仿宋" w:hAnsi="仿宋" w:eastAsia="仿宋" w:cs="仿宋"/>
        </w:rPr>
        <w:t xml:space="preserve">  万元；本年收入</w:t>
      </w:r>
      <w:r>
        <w:rPr>
          <w:sz w:val="31"/>
          <w:lang w:val="en-US" w:eastAsia="zh-CN"/>
          <w:szCs w:val="31"/>
          <w:rFonts w:ascii="仿宋" w:hAnsi="仿宋" w:eastAsia="仿宋" w:cs="仿宋" w:hint="eastAsia"/>
        </w:rPr>
        <w:t>3.89</w:t>
      </w:r>
      <w:r>
        <w:rPr>
          <w:sz w:val="31"/>
          <w:szCs w:val="31"/>
          <w:rFonts w:ascii="仿宋" w:hAnsi="仿宋" w:eastAsia="仿宋" w:cs="仿宋"/>
        </w:rPr>
        <w:t>万元，比上年增加</w:t>
      </w:r>
      <w:r>
        <w:rPr>
          <w:sz w:val="31"/>
          <w:lang w:val="en-US" w:eastAsia="zh-CN"/>
          <w:szCs w:val="31"/>
          <w:rFonts w:ascii="仿宋" w:hAnsi="仿宋" w:eastAsia="仿宋" w:cs="仿宋" w:hint="eastAsia"/>
        </w:rPr>
        <w:t>3.89</w:t>
      </w:r>
      <w:r>
        <w:rPr>
          <w:sz w:val="31"/>
          <w:szCs w:val="31"/>
          <w:rFonts w:ascii="仿宋" w:hAnsi="仿宋" w:eastAsia="仿宋" w:cs="仿宋"/>
        </w:rPr>
        <w:t>万元</w:t>
      </w:r>
      <w:r>
        <w:rPr>
          <w:spacing w:val="-1"/>
          <w:sz w:val="31"/>
          <w:szCs w:val="31"/>
          <w:rFonts w:ascii="仿宋" w:hAnsi="仿宋" w:eastAsia="仿宋" w:cs="仿宋"/>
        </w:rPr>
        <w:t>，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本年支出 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3.89</w:t>
      </w:r>
      <w:r>
        <w:rPr>
          <w:spacing w:val="3"/>
          <w:sz w:val="31"/>
          <w:szCs w:val="31"/>
          <w:rFonts w:ascii="仿宋" w:hAnsi="仿宋" w:eastAsia="仿宋" w:cs="仿宋"/>
        </w:rPr>
        <w:t>万元</w:t>
      </w:r>
      <w:r>
        <w:rPr>
          <w:spacing w:val="1"/>
          <w:sz w:val="31"/>
          <w:szCs w:val="31"/>
          <w:rFonts w:ascii="仿宋" w:hAnsi="仿宋" w:eastAsia="仿宋" w:cs="仿宋"/>
        </w:rPr>
        <w:t>支出具体情况如下：</w:t>
      </w:r>
      <w:r>
        <w:rPr>
          <w:sz w:val="31"/>
          <w:lang w:eastAsia="zh-CN"/>
          <w:szCs w:val="31"/>
          <w:rFonts w:ascii="宋体" w:hAnsi="宋体" w:eastAsia="宋体" w:cs="宋体" w:hint="eastAsia"/>
        </w:rPr>
        <w:t>彩票公益金支出</w:t>
      </w:r>
      <w:r>
        <w:rPr>
          <w:spacing w:val="9"/>
          <w:sz w:val="31"/>
          <w:lang w:eastAsia="zh-CN"/>
          <w:szCs w:val="31"/>
          <w:rFonts w:ascii="仿宋" w:hAnsi="仿宋" w:eastAsia="仿宋" w:cs="仿宋" w:hint="eastAsia"/>
        </w:rPr>
        <w:t>。</w:t>
      </w:r>
    </w:p>
    <w:p w14:paraId="2C9D2786">
      <w:pPr>
        <w:spacing w:before="260" w:line="223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注：按支出功能分类科目类、款、项级科目逐一说明。</w:t>
      </w:r>
    </w:p>
    <w:p w14:paraId="763E990B">
      <w:pPr>
        <w:spacing w:line="223" w:lineRule="auto"/>
        <w:rPr>
          <w:sz w:val="31"/>
          <w:szCs w:val="31"/>
          <w:rFonts w:ascii="仿宋" w:hAnsi="仿宋" w:eastAsia="仿宋" w:cs="仿宋"/>
        </w:rPr>
        <w:sectPr>
          <w:footerReference r:id="rId13" w:type="default"/>
          <w:docGrid w:type="default" w:charSpace="0"/>
          <w:pgSz w:w="11907" w:h="16839"/>
          <w:pgMar w:top="1431" w:right="1641" w:bottom="1153" w:left="1785" w:header="0" w:footer="965" w:gutter="0"/>
          <w:cols w:space="720" w:num="1"/>
        </w:sectPr>
      </w:pPr>
    </w:p>
    <w:p w14:paraId="43F0FC0D">
      <w:pPr>
        <w:spacing w:before="158" w:line="224" w:lineRule="auto"/>
        <w:ind w:left="746"/>
        <w:rPr>
          <w:sz w:val="31"/>
          <w:szCs w:val="31"/>
          <w:rFonts w:ascii="黑体" w:hAnsi="黑体" w:eastAsia="黑体" w:cs="黑体"/>
        </w:rPr>
      </w:pPr>
      <w:r>
        <w:rPr>
          <w:spacing w:val="7"/>
          <w:sz w:val="31"/>
          <w:szCs w:val="31"/>
          <w:rFonts w:ascii="黑体" w:hAnsi="黑体" w:eastAsia="黑体" w:cs="黑体"/>
        </w:rPr>
        <w:t>八、国有资本经营预算财政拨款支出决算情况说明</w:t>
      </w:r>
    </w:p>
    <w:p w14:paraId="03730A95">
      <w:pPr>
        <w:spacing w:before="248" w:line="220" w:lineRule="auto"/>
        <w:ind w:left="671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7"/>
          <w:sz w:val="31"/>
          <w:szCs w:val="31"/>
          <w:rFonts w:ascii="仿宋" w:hAnsi="仿宋" w:eastAsia="仿宋" w:cs="仿宋"/>
        </w:rPr>
        <w:t>年度国有资本经营预算年初结转和结余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7"/>
          <w:sz w:val="31"/>
          <w:szCs w:val="31"/>
          <w:rFonts w:ascii="仿宋" w:hAnsi="仿宋" w:eastAsia="仿宋" w:cs="仿宋"/>
        </w:rPr>
        <w:t xml:space="preserve"> 万元；</w:t>
      </w:r>
    </w:p>
    <w:p w14:paraId="66650B1F">
      <w:pPr>
        <w:spacing w:before="255" w:line="364" w:lineRule="auto"/>
        <w:ind w:firstLine="3" w:left="23"/>
        <w:rPr>
          <w:sz w:val="31"/>
          <w:lang w:val="en-US" w:eastAsia="zh-CN"/>
          <w:szCs w:val="31"/>
          <w:rFonts w:ascii="仿宋" w:hAnsi="仿宋" w:eastAsia="仿宋" w:cs="仿宋" w:hint="eastAsia"/>
        </w:rPr>
      </w:pPr>
      <w:r>
        <w:rPr>
          <w:spacing w:val="-5"/>
          <w:sz w:val="31"/>
          <w:szCs w:val="31"/>
          <w:rFonts w:ascii="仿宋" w:hAnsi="仿宋" w:eastAsia="仿宋" w:cs="仿宋"/>
        </w:rPr>
        <w:t>本年收入</w:t>
      </w:r>
      <w:r>
        <w:rPr>
          <w:spacing w:val="-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5"/>
          <w:sz w:val="31"/>
          <w:szCs w:val="31"/>
          <w:rFonts w:ascii="仿宋" w:hAnsi="仿宋" w:eastAsia="仿宋" w:cs="仿宋"/>
        </w:rPr>
        <w:t xml:space="preserve"> 万元，</w:t>
      </w:r>
      <w:r>
        <w:rPr>
          <w:spacing w:val="1"/>
          <w:sz w:val="31"/>
          <w:szCs w:val="31"/>
          <w:rFonts w:ascii="仿宋" w:hAnsi="仿宋" w:eastAsia="仿宋" w:cs="仿宋"/>
        </w:rPr>
        <w:t>本年支出</w:t>
      </w:r>
      <w:r>
        <w:rPr>
          <w:spacing w:val="1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49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1"/>
          <w:sz w:val="31"/>
          <w:szCs w:val="31"/>
          <w:rFonts w:ascii="仿宋" w:hAnsi="仿宋" w:eastAsia="仿宋" w:cs="仿宋"/>
        </w:rPr>
        <w:t>万元</w:t>
      </w:r>
      <w:r>
        <w:rPr>
          <w:spacing w:val="1"/>
          <w:sz w:val="31"/>
          <w:lang w:val="en-US" w:eastAsia="zh-CN"/>
          <w:szCs w:val="31"/>
          <w:rFonts w:ascii="仿宋" w:hAnsi="仿宋" w:eastAsia="仿宋" w:cs="仿宋" w:hint="eastAsia"/>
        </w:rPr>
        <w:t>.</w:t>
      </w:r>
    </w:p>
    <w:p w14:paraId="34ADF2EC">
      <w:pPr>
        <w:spacing w:before="260" w:line="223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注：按支出功能分类科目类、款、项级科目逐一说明。</w:t>
      </w:r>
    </w:p>
    <w:p w14:paraId="2758D540">
      <w:pPr>
        <w:pStyle w:val="2"/>
        <w:spacing w:line="255" w:lineRule="auto"/>
      </w:pPr>
    </w:p>
    <w:p w14:paraId="2ACE1BF2">
      <w:pPr>
        <w:pStyle w:val="2"/>
        <w:spacing w:line="256" w:lineRule="auto"/>
      </w:pPr>
    </w:p>
    <w:p w14:paraId="0CC41225">
      <w:pPr>
        <w:pStyle w:val="2"/>
        <w:spacing w:line="256" w:lineRule="auto"/>
      </w:pPr>
    </w:p>
    <w:p w14:paraId="08B74CEF">
      <w:pPr>
        <w:spacing w:before="101" w:line="224" w:lineRule="auto"/>
        <w:ind w:left="675"/>
        <w:rPr>
          <w:sz w:val="31"/>
          <w:szCs w:val="31"/>
          <w:rFonts w:ascii="黑体" w:hAnsi="黑体" w:eastAsia="黑体" w:cs="黑体"/>
        </w:rPr>
      </w:pPr>
      <w:r>
        <w:rPr>
          <w:spacing w:val="8"/>
          <w:sz w:val="31"/>
          <w:szCs w:val="31"/>
          <w:rFonts w:ascii="黑体" w:hAnsi="黑体" w:eastAsia="黑体" w:cs="黑体"/>
        </w:rPr>
        <w:t>九、财政拨款“三公”经费支出决算情况说明</w:t>
      </w:r>
    </w:p>
    <w:p w14:paraId="323F95D4">
      <w:pPr>
        <w:spacing w:before="248" w:line="224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3"/>
          <w:sz w:val="31"/>
          <w:szCs w:val="31"/>
          <w:rFonts w:ascii="仿宋" w:hAnsi="仿宋" w:eastAsia="仿宋" w:cs="仿宋"/>
        </w:rPr>
        <w:t>注：</w:t>
      </w:r>
      <w:r>
        <w:rPr>
          <w:color w:val="FF0000"/>
          <w:spacing w:val="-83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3"/>
          <w:sz w:val="31"/>
          <w:szCs w:val="31"/>
          <w:rFonts w:ascii="仿宋" w:hAnsi="仿宋" w:eastAsia="仿宋" w:cs="仿宋"/>
        </w:rPr>
        <w:t>“三公”经费增减变化原因要分项说明。</w:t>
      </w:r>
    </w:p>
    <w:p w14:paraId="3D8D588A">
      <w:pPr>
        <w:spacing w:before="249" w:line="223" w:lineRule="auto"/>
        <w:ind w:left="659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（</w:t>
      </w:r>
      <w:r>
        <w:rPr>
          <w:spacing w:val="-6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一）“三公”经费财政拨款支出决算总体情况说明</w:t>
      </w:r>
    </w:p>
    <w:p w14:paraId="1CDC7396">
      <w:pPr>
        <w:spacing w:before="249" w:line="223" w:lineRule="auto"/>
        <w:ind w:left="671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宋体" w:hAnsi="宋体" w:eastAsia="宋体" w:cs="宋体"/>
        </w:rPr>
        <w:t>2023</w:t>
      </w:r>
      <w:r>
        <w:rPr>
          <w:spacing w:val="-44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年度“三公”经费财政拨款支出预算为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4.8</w:t>
      </w:r>
      <w:r>
        <w:rPr>
          <w:spacing w:val="4"/>
          <w:sz w:val="31"/>
          <w:szCs w:val="31"/>
          <w:rFonts w:ascii="仿宋" w:hAnsi="仿宋" w:eastAsia="仿宋" w:cs="仿宋"/>
        </w:rPr>
        <w:t>万元，支</w:t>
      </w:r>
    </w:p>
    <w:p w14:paraId="6BB2B887">
      <w:pPr>
        <w:spacing w:line="223" w:lineRule="auto"/>
        <w:rPr>
          <w:sz w:val="31"/>
          <w:szCs w:val="31"/>
          <w:rFonts w:ascii="仿宋" w:hAnsi="仿宋" w:eastAsia="仿宋" w:cs="仿宋"/>
        </w:rPr>
        <w:sectPr>
          <w:footerReference r:id="rId14" w:type="default"/>
          <w:docGrid w:type="default" w:charSpace="0"/>
          <w:pgSz w:w="11907" w:h="16839"/>
          <w:pgMar w:top="1431" w:right="1714" w:bottom="1153" w:left="1785" w:header="0" w:footer="965" w:gutter="0"/>
          <w:cols w:space="720" w:num="1"/>
        </w:sectPr>
      </w:pPr>
    </w:p>
    <w:p w14:paraId="1238D6AB">
      <w:pPr>
        <w:widowControl w:val="1"/>
        <w:keepNext w:val="0"/>
        <w:keepLines w:val="0"/>
        <w:jc w:val="left"/>
        <w:suppressLineNumbers w:val="0"/>
      </w:pPr>
      <w:r>
        <w:rPr>
          <w:spacing w:val="-1"/>
          <w:sz w:val="31"/>
          <w:szCs w:val="31"/>
          <w:rFonts w:ascii="仿宋" w:hAnsi="仿宋" w:eastAsia="仿宋" w:cs="仿宋"/>
        </w:rPr>
        <w:t>出决算为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4.75</w:t>
      </w:r>
      <w:r>
        <w:rPr>
          <w:spacing w:val="-1"/>
          <w:sz w:val="31"/>
          <w:szCs w:val="31"/>
          <w:rFonts w:ascii="仿宋" w:hAnsi="仿宋" w:eastAsia="仿宋" w:cs="仿宋"/>
        </w:rPr>
        <w:t>万元，完成预算的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99</w:t>
      </w:r>
      <w:r>
        <w:rPr>
          <w:spacing w:val="-1"/>
          <w:sz w:val="31"/>
          <w:szCs w:val="31"/>
          <w:rFonts w:ascii="宋体" w:hAnsi="宋体" w:eastAsia="宋体" w:cs="宋体"/>
        </w:rPr>
        <w:t>%</w:t>
      </w:r>
      <w:r>
        <w:rPr>
          <w:spacing w:val="-1"/>
          <w:sz w:val="31"/>
          <w:szCs w:val="31"/>
          <w:rFonts w:ascii="仿宋" w:hAnsi="仿宋" w:eastAsia="仿宋" w:cs="仿宋"/>
        </w:rPr>
        <w:t>；较</w:t>
      </w:r>
      <w:r>
        <w:rPr>
          <w:spacing w:val="-2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宋体" w:hAnsi="宋体" w:eastAsia="宋体" w:cs="宋体"/>
        </w:rPr>
        <w:t>2022</w:t>
      </w:r>
      <w:r>
        <w:rPr>
          <w:spacing w:val="-60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年度减少</w:t>
      </w:r>
      <w:r>
        <w:rPr>
          <w:spacing w:val="-1"/>
          <w:sz w:val="31"/>
          <w:lang w:val="en-US" w:eastAsia="zh-CN"/>
          <w:szCs w:val="31"/>
          <w:rFonts w:ascii="仿宋" w:hAnsi="仿宋" w:eastAsia="仿宋" w:cs="仿宋" w:hint="eastAsia"/>
        </w:rPr>
        <w:t>0.15</w:t>
      </w:r>
      <w:r>
        <w:rPr>
          <w:spacing w:val="4"/>
          <w:sz w:val="31"/>
          <w:szCs w:val="31"/>
          <w:rFonts w:ascii="仿宋" w:hAnsi="仿宋" w:eastAsia="仿宋" w:cs="仿宋"/>
        </w:rPr>
        <w:t>万元，下降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2</w:t>
      </w:r>
      <w:r>
        <w:rPr>
          <w:spacing w:val="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宋体" w:hAnsi="宋体" w:eastAsia="宋体" w:cs="宋体"/>
        </w:rPr>
        <w:t>%</w:t>
      </w:r>
      <w:r>
        <w:rPr>
          <w:spacing w:val="4"/>
          <w:sz w:val="31"/>
          <w:szCs w:val="31"/>
          <w:rFonts w:ascii="仿宋" w:hAnsi="仿宋" w:eastAsia="仿宋" w:cs="仿宋"/>
        </w:rPr>
        <w:t>，主要原因是</w:t>
      </w:r>
      <w:r>
        <w:rPr>
          <w:spacing w:val="-91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 xml:space="preserve">主要原因是降低油耗及维修费 </w:t>
      </w:r>
    </w:p>
    <w:p w14:paraId="2BD87EF7">
      <w:pPr>
        <w:widowControl w:val="1"/>
        <w:keepNext w:val="0"/>
        <w:keepLines w:val="0"/>
        <w:jc w:val="left"/>
        <w:suppressLineNumbers w:val="0"/>
      </w:pPr>
      <w:r>
        <w:rPr>
          <w:color w:val="000000"/>
          <w:sz w:val="31"/>
          <w:lang w:val="en-US" w:eastAsia="zh-CN" w:bidi="ar"/>
          <w:kern w:val="0"/>
          <w:szCs w:val="31"/>
          <w:rFonts w:ascii="宋体" w:hAnsi="宋体" w:eastAsia="宋体" w:cs="宋体" w:hint="eastAsia"/>
        </w:rPr>
        <w:t>用。</w:t>
      </w:r>
    </w:p>
    <w:p w14:paraId="670AB8FA">
      <w:pPr>
        <w:spacing w:before="50" w:line="223" w:lineRule="auto"/>
        <w:ind w:left="659"/>
        <w:rPr>
          <w:sz w:val="31"/>
          <w:szCs w:val="31"/>
          <w:rFonts w:ascii="仿宋" w:hAnsi="仿宋" w:eastAsia="仿宋" w:cs="仿宋"/>
        </w:rPr>
      </w:pPr>
      <w:r>
        <w:rPr>
          <w:spacing w:val="9"/>
          <w:sz w:val="31"/>
          <w:szCs w:val="31"/>
          <w:rFonts w:ascii="仿宋" w:hAnsi="仿宋" w:eastAsia="仿宋" w:cs="仿宋"/>
        </w:rPr>
        <w:t>（二）“三公”经费财政拨款支出决算具体情况说明</w:t>
      </w:r>
    </w:p>
    <w:p w14:paraId="4AD2D45A">
      <w:pPr>
        <w:spacing w:before="248" w:line="366" w:lineRule="auto"/>
        <w:ind w:firstLine="668" w:left="23" w:right="74"/>
        <w:rPr>
          <w:sz w:val="31"/>
          <w:szCs w:val="31"/>
          <w:rFonts w:ascii="仿宋" w:hAnsi="仿宋" w:eastAsia="仿宋" w:cs="仿宋"/>
        </w:rPr>
      </w:pPr>
      <w:r>
        <w:rPr>
          <w:spacing w:val="3"/>
          <w:sz w:val="31"/>
          <w:szCs w:val="31"/>
          <w:rFonts w:ascii="宋体" w:hAnsi="宋体" w:eastAsia="宋体" w:cs="宋体"/>
        </w:rPr>
        <w:t>1.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因公出国（境）费预算为 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 万元</w:t>
      </w:r>
      <w:r>
        <w:rPr>
          <w:spacing w:val="3"/>
          <w:sz w:val="31"/>
          <w:szCs w:val="31"/>
          <w:rFonts w:ascii="宋体" w:hAnsi="宋体" w:eastAsia="宋体" w:cs="宋体"/>
        </w:rPr>
        <w:t>,</w:t>
      </w:r>
      <w:r>
        <w:rPr>
          <w:spacing w:val="3"/>
          <w:sz w:val="31"/>
          <w:szCs w:val="31"/>
          <w:rFonts w:ascii="仿宋" w:hAnsi="仿宋" w:eastAsia="仿宋" w:cs="仿宋"/>
        </w:rPr>
        <w:t>支出决算为</w:t>
      </w:r>
      <w:r>
        <w:rPr>
          <w:spacing w:val="2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0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2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"/>
          <w:sz w:val="31"/>
          <w:szCs w:val="31"/>
          <w:rFonts w:ascii="仿宋" w:hAnsi="仿宋" w:eastAsia="仿宋" w:cs="仿宋"/>
        </w:rPr>
        <w:t>万</w:t>
      </w:r>
      <w:r>
        <w:rPr>
          <w:spacing w:val="2"/>
          <w:sz w:val="31"/>
          <w:szCs w:val="31"/>
          <w:rFonts w:ascii="仿宋" w:hAnsi="仿宋" w:eastAsia="仿宋" w:cs="仿宋"/>
        </w:rPr>
        <w:t>元，</w:t>
      </w:r>
      <w:r>
        <w:rPr>
          <w:sz w:val="31"/>
          <w:szCs w:val="31"/>
          <w:rFonts w:ascii="仿宋" w:hAnsi="仿宋" w:eastAsia="仿宋" w:cs="仿宋"/>
        </w:rPr>
        <w:t xml:space="preserve"> 完成预算的 </w:t>
      </w:r>
      <w:r>
        <w:rPr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z w:val="31"/>
          <w:szCs w:val="31"/>
          <w:rFonts w:ascii="仿宋" w:hAnsi="仿宋" w:eastAsia="仿宋" w:cs="仿宋"/>
        </w:rPr>
        <w:t xml:space="preserve">  </w:t>
      </w:r>
      <w:r>
        <w:rPr>
          <w:sz w:val="31"/>
          <w:szCs w:val="31"/>
          <w:rFonts w:ascii="宋体" w:hAnsi="宋体" w:eastAsia="宋体" w:cs="宋体"/>
        </w:rPr>
        <w:t>%</w:t>
      </w:r>
    </w:p>
    <w:p w14:paraId="14D57D7D">
      <w:pPr>
        <w:jc w:val="both"/>
        <w:spacing w:before="47" w:line="361" w:lineRule="auto"/>
        <w:ind w:firstLine="640" w:left="34" w:right="15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注：细化说明因公出国（境）团组数及人数，主要包括</w:t>
      </w:r>
      <w:r>
        <w:rPr>
          <w:color w:val="FF0000"/>
          <w:spacing w:val="13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要分别列出出国事项及开支金额。没有的也要分别填列</w:t>
      </w:r>
      <w:r>
        <w:rPr>
          <w:color w:val="FF0000"/>
          <w:spacing w:val="-51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7"/>
          <w:sz w:val="31"/>
          <w:szCs w:val="31"/>
          <w:rFonts w:ascii="宋体" w:hAnsi="宋体" w:eastAsia="宋体" w:cs="宋体"/>
        </w:rPr>
        <w:t>0</w:t>
      </w:r>
      <w:r>
        <w:rPr>
          <w:color w:val="FF0000"/>
          <w:spacing w:val="-60"/>
          <w:sz w:val="31"/>
          <w:szCs w:val="31"/>
          <w:rFonts w:ascii="宋体" w:hAnsi="宋体" w:eastAsia="宋体" w:cs="宋体"/>
        </w:rPr>
        <w:t xml:space="preserve"> </w:t>
      </w: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个</w:t>
      </w:r>
      <w:r>
        <w:rPr>
          <w:color w:val="FF0000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和</w:t>
      </w:r>
      <w:r>
        <w:rPr>
          <w:color w:val="FF0000"/>
          <w:spacing w:val="-58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7"/>
          <w:sz w:val="31"/>
          <w:szCs w:val="31"/>
          <w:rFonts w:ascii="宋体" w:hAnsi="宋体" w:eastAsia="宋体" w:cs="宋体"/>
        </w:rPr>
        <w:t>0</w:t>
      </w:r>
      <w:r>
        <w:rPr>
          <w:color w:val="FF0000"/>
          <w:spacing w:val="-60"/>
          <w:sz w:val="31"/>
          <w:szCs w:val="31"/>
          <w:rFonts w:ascii="宋体" w:hAnsi="宋体" w:eastAsia="宋体" w:cs="宋体"/>
        </w:rPr>
        <w:t xml:space="preserve"> </w:t>
      </w:r>
      <w:r>
        <w:rPr>
          <w:color w:val="FF0000"/>
          <w:spacing w:val="7"/>
          <w:sz w:val="31"/>
          <w:szCs w:val="31"/>
          <w:rFonts w:ascii="仿宋" w:hAnsi="仿宋" w:eastAsia="仿宋" w:cs="仿宋"/>
        </w:rPr>
        <w:t>人或附说明无因公出国（境）团组和人数字</w:t>
      </w:r>
      <w:r>
        <w:rPr>
          <w:color w:val="FF0000"/>
          <w:spacing w:val="6"/>
          <w:sz w:val="31"/>
          <w:szCs w:val="31"/>
          <w:rFonts w:ascii="仿宋" w:hAnsi="仿宋" w:eastAsia="仿宋" w:cs="仿宋"/>
        </w:rPr>
        <w:t>样。</w:t>
      </w:r>
    </w:p>
    <w:p w14:paraId="0E6A2DC1">
      <w:pPr>
        <w:spacing w:before="57" w:line="364" w:lineRule="auto"/>
        <w:ind w:firstLine="648" w:left="23" w:right="156"/>
        <w:rPr>
          <w:sz w:val="31"/>
          <w:lang w:eastAsia="zh-CN"/>
          <w:szCs w:val="31"/>
          <w:rFonts w:ascii="仿宋" w:hAnsi="仿宋" w:eastAsia="仿宋" w:cs="仿宋" w:hint="eastAsia"/>
        </w:rPr>
      </w:pPr>
      <w:r>
        <w:rPr>
          <w:spacing w:val="21"/>
          <w:sz w:val="31"/>
          <w:szCs w:val="31"/>
          <w:rFonts w:ascii="宋体" w:hAnsi="宋体" w:eastAsia="宋体" w:cs="宋体"/>
        </w:rPr>
        <w:t>2.</w:t>
      </w:r>
      <w:r>
        <w:rPr>
          <w:spacing w:val="21"/>
          <w:sz w:val="31"/>
          <w:szCs w:val="31"/>
          <w:rFonts w:ascii="仿宋" w:hAnsi="仿宋" w:eastAsia="仿宋" w:cs="仿宋"/>
        </w:rPr>
        <w:t>公务用车购置及运行费预算为</w:t>
      </w:r>
      <w:r>
        <w:rPr>
          <w:spacing w:val="21"/>
          <w:sz w:val="31"/>
          <w:lang w:val="en-US" w:eastAsia="zh-CN"/>
          <w:szCs w:val="31"/>
          <w:rFonts w:ascii="仿宋" w:hAnsi="仿宋" w:eastAsia="仿宋" w:cs="仿宋" w:hint="eastAsia"/>
        </w:rPr>
        <w:t>4.8</w:t>
      </w:r>
      <w:r>
        <w:rPr>
          <w:spacing w:val="21"/>
          <w:sz w:val="31"/>
          <w:szCs w:val="31"/>
          <w:rFonts w:ascii="仿宋" w:hAnsi="仿宋" w:eastAsia="仿宋" w:cs="仿宋"/>
        </w:rPr>
        <w:t>万元</w:t>
      </w:r>
      <w:r>
        <w:rPr>
          <w:spacing w:val="20"/>
          <w:sz w:val="31"/>
          <w:szCs w:val="31"/>
          <w:rFonts w:ascii="仿宋" w:hAnsi="仿宋" w:eastAsia="仿宋" w:cs="仿宋"/>
        </w:rPr>
        <w:t>，支出决算为</w:t>
      </w:r>
      <w:r>
        <w:rPr>
          <w:sz w:val="31"/>
          <w:lang w:val="en-US" w:eastAsia="zh-CN"/>
          <w:szCs w:val="31"/>
          <w:rFonts w:ascii="仿宋" w:hAnsi="仿宋" w:eastAsia="仿宋" w:cs="仿宋" w:hint="eastAsia"/>
        </w:rPr>
        <w:t>4.78</w:t>
      </w:r>
      <w:r>
        <w:rPr>
          <w:spacing w:val="4"/>
          <w:sz w:val="31"/>
          <w:szCs w:val="31"/>
          <w:rFonts w:ascii="仿宋" w:hAnsi="仿宋" w:eastAsia="仿宋" w:cs="仿宋"/>
        </w:rPr>
        <w:t>万元</w:t>
      </w:r>
      <w:r>
        <w:rPr>
          <w:spacing w:val="4"/>
          <w:sz w:val="31"/>
          <w:lang w:eastAsia="zh-CN"/>
          <w:szCs w:val="31"/>
          <w:rFonts w:ascii="仿宋" w:hAnsi="仿宋" w:eastAsia="仿宋" w:cs="仿宋" w:hint="eastAsia"/>
        </w:rPr>
        <w:t>。</w:t>
      </w:r>
    </w:p>
    <w:p w14:paraId="7BABE49B">
      <w:pPr>
        <w:spacing w:before="49" w:line="221" w:lineRule="auto"/>
        <w:ind w:left="666"/>
        <w:rPr>
          <w:color w:val="auto"/>
          <w:spacing w:val="4"/>
          <w:sz w:val="31"/>
          <w:szCs w:val="31"/>
          <w:rFonts w:ascii="仿宋" w:hAnsi="仿宋" w:eastAsia="仿宋" w:cs="仿宋"/>
        </w:rPr>
      </w:pPr>
      <w:r>
        <w:rPr>
          <w:color w:val="auto"/>
          <w:spacing w:val="4"/>
          <w:sz w:val="31"/>
          <w:szCs w:val="31"/>
          <w:rFonts w:ascii="仿宋" w:hAnsi="仿宋" w:eastAsia="仿宋" w:cs="仿宋"/>
        </w:rPr>
        <w:t>公务用车购置费支出</w:t>
      </w:r>
      <w:r>
        <w:rPr>
          <w:color w:val="auto"/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color w:val="auto"/>
          <w:spacing w:val="4"/>
          <w:sz w:val="31"/>
          <w:szCs w:val="31"/>
          <w:rFonts w:ascii="仿宋" w:hAnsi="仿宋" w:eastAsia="仿宋" w:cs="仿宋"/>
        </w:rPr>
        <w:t>万元。</w:t>
      </w:r>
    </w:p>
    <w:p w14:paraId="33D52820">
      <w:pPr>
        <w:spacing w:before="49" w:line="221" w:lineRule="auto"/>
        <w:ind w:left="666"/>
        <w:rPr>
          <w:color w:val="auto"/>
          <w:sz w:val="31"/>
          <w:szCs w:val="31"/>
          <w:rFonts w:ascii="仿宋" w:hAnsi="仿宋" w:eastAsia="仿宋" w:cs="仿宋"/>
        </w:rPr>
      </w:pPr>
      <w:r>
        <w:rPr>
          <w:color w:val="auto"/>
          <w:spacing w:val="4"/>
          <w:sz w:val="31"/>
          <w:szCs w:val="31"/>
          <w:rFonts w:ascii="仿宋" w:hAnsi="仿宋" w:eastAsia="仿宋" w:cs="仿宋"/>
        </w:rPr>
        <w:t xml:space="preserve">截至 </w:t>
      </w:r>
      <w:r>
        <w:rPr>
          <w:color w:val="auto"/>
          <w:spacing w:val="4"/>
          <w:sz w:val="31"/>
          <w:szCs w:val="31"/>
          <w:rFonts w:ascii="宋体" w:hAnsi="宋体" w:eastAsia="宋体" w:cs="宋体"/>
        </w:rPr>
        <w:t>2023</w:t>
      </w:r>
      <w:r>
        <w:rPr>
          <w:color w:val="auto"/>
          <w:spacing w:val="2"/>
          <w:sz w:val="31"/>
          <w:szCs w:val="31"/>
          <w:rFonts w:ascii="仿宋" w:hAnsi="仿宋" w:eastAsia="仿宋" w:cs="仿宋"/>
        </w:rPr>
        <w:t xml:space="preserve">年 </w:t>
      </w:r>
      <w:r>
        <w:rPr>
          <w:color w:val="auto"/>
          <w:spacing w:val="2"/>
          <w:sz w:val="31"/>
          <w:szCs w:val="31"/>
          <w:rFonts w:ascii="宋体" w:hAnsi="宋体" w:eastAsia="宋体" w:cs="宋体"/>
        </w:rPr>
        <w:t xml:space="preserve">12 </w:t>
      </w:r>
      <w:r>
        <w:rPr>
          <w:color w:val="auto"/>
          <w:spacing w:val="2"/>
          <w:sz w:val="31"/>
          <w:szCs w:val="31"/>
          <w:rFonts w:ascii="仿宋" w:hAnsi="仿宋" w:eastAsia="仿宋" w:cs="仿宋"/>
        </w:rPr>
        <w:t xml:space="preserve">月 </w:t>
      </w:r>
      <w:r>
        <w:rPr>
          <w:color w:val="auto"/>
          <w:spacing w:val="2"/>
          <w:sz w:val="31"/>
          <w:szCs w:val="31"/>
          <w:rFonts w:ascii="宋体" w:hAnsi="宋体" w:eastAsia="宋体" w:cs="宋体"/>
        </w:rPr>
        <w:t xml:space="preserve">31 </w:t>
      </w:r>
      <w:r>
        <w:rPr>
          <w:color w:val="auto"/>
          <w:spacing w:val="2"/>
          <w:sz w:val="31"/>
          <w:szCs w:val="31"/>
          <w:rFonts w:ascii="仿宋" w:hAnsi="仿宋" w:eastAsia="仿宋" w:cs="仿宋"/>
        </w:rPr>
        <w:t>日，公务用车保有量为</w:t>
      </w:r>
      <w:r>
        <w:rPr>
          <w:color w:val="auto"/>
          <w:spacing w:val="2"/>
          <w:sz w:val="31"/>
          <w:lang w:val="en-US" w:eastAsia="zh-CN"/>
          <w:szCs w:val="31"/>
          <w:rFonts w:ascii="仿宋" w:hAnsi="仿宋" w:eastAsia="仿宋" w:cs="仿宋" w:hint="eastAsia"/>
        </w:rPr>
        <w:t>3</w:t>
      </w:r>
      <w:r>
        <w:rPr>
          <w:color w:val="auto"/>
          <w:spacing w:val="2"/>
          <w:sz w:val="31"/>
          <w:szCs w:val="31"/>
          <w:rFonts w:ascii="仿宋" w:hAnsi="仿宋" w:eastAsia="仿宋" w:cs="仿宋"/>
        </w:rPr>
        <w:t>辆</w:t>
      </w:r>
      <w:r>
        <w:rPr>
          <w:color w:val="auto"/>
          <w:spacing w:val="2"/>
          <w:sz w:val="31"/>
          <w:szCs w:val="31"/>
          <w:rFonts w:ascii="宋体" w:hAnsi="宋体" w:eastAsia="宋体" w:cs="宋体"/>
        </w:rPr>
        <w:t>,</w:t>
      </w:r>
      <w:r>
        <w:rPr>
          <w:color w:val="auto"/>
          <w:spacing w:val="2"/>
          <w:sz w:val="31"/>
          <w:szCs w:val="31"/>
          <w:rFonts w:ascii="仿宋" w:hAnsi="仿宋" w:eastAsia="仿宋" w:cs="仿宋"/>
        </w:rPr>
        <w:t>公务用车购置数</w:t>
      </w:r>
      <w:r>
        <w:rPr>
          <w:color w:val="auto"/>
          <w:spacing w:val="-15"/>
          <w:sz w:val="31"/>
          <w:szCs w:val="31"/>
          <w:rFonts w:ascii="仿宋" w:hAnsi="仿宋" w:eastAsia="仿宋" w:cs="仿宋"/>
        </w:rPr>
        <w:t>为</w:t>
      </w:r>
      <w:r>
        <w:rPr>
          <w:color w:val="auto"/>
          <w:spacing w:val="9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color w:val="auto"/>
          <w:spacing w:val="9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auto"/>
          <w:spacing w:val="-15"/>
          <w:sz w:val="31"/>
          <w:szCs w:val="31"/>
          <w:rFonts w:ascii="仿宋" w:hAnsi="仿宋" w:eastAsia="仿宋" w:cs="仿宋"/>
        </w:rPr>
        <w:t>辆。</w:t>
      </w:r>
    </w:p>
    <w:p w14:paraId="7D45F064">
      <w:pPr>
        <w:spacing w:before="252" w:line="355" w:lineRule="auto"/>
        <w:ind w:firstLine="633" w:left="41" w:right="157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注：公务用车购置及保有量要说明，没有的也要分别填</w:t>
      </w:r>
      <w:r>
        <w:rPr>
          <w:color w:val="FF0000"/>
          <w:spacing w:val="11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5"/>
          <w:sz w:val="31"/>
          <w:szCs w:val="31"/>
          <w:rFonts w:ascii="仿宋" w:hAnsi="仿宋" w:eastAsia="仿宋" w:cs="仿宋"/>
        </w:rPr>
        <w:t>列</w:t>
      </w:r>
      <w:r>
        <w:rPr>
          <w:color w:val="FF0000"/>
          <w:spacing w:val="-58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5"/>
          <w:sz w:val="31"/>
          <w:szCs w:val="31"/>
          <w:rFonts w:ascii="宋体" w:hAnsi="宋体" w:eastAsia="宋体" w:cs="宋体"/>
        </w:rPr>
        <w:t>0</w:t>
      </w:r>
      <w:r>
        <w:rPr>
          <w:color w:val="FF0000"/>
          <w:spacing w:val="-62"/>
          <w:sz w:val="31"/>
          <w:szCs w:val="31"/>
          <w:rFonts w:ascii="宋体" w:hAnsi="宋体" w:eastAsia="宋体" w:cs="宋体"/>
        </w:rPr>
        <w:t xml:space="preserve"> </w:t>
      </w:r>
      <w:r>
        <w:rPr>
          <w:color w:val="FF0000"/>
          <w:spacing w:val="5"/>
          <w:sz w:val="31"/>
          <w:szCs w:val="31"/>
          <w:rFonts w:ascii="仿宋" w:hAnsi="仿宋" w:eastAsia="仿宋" w:cs="仿宋"/>
        </w:rPr>
        <w:t>辆或附说明无公务用车和本年度未购置公务用</w:t>
      </w:r>
      <w:r>
        <w:rPr>
          <w:color w:val="FF0000"/>
          <w:spacing w:val="4"/>
          <w:sz w:val="31"/>
          <w:szCs w:val="31"/>
          <w:rFonts w:ascii="仿宋" w:hAnsi="仿宋" w:eastAsia="仿宋" w:cs="仿宋"/>
        </w:rPr>
        <w:t>车字样。</w:t>
      </w:r>
    </w:p>
    <w:p w14:paraId="30D4DE72">
      <w:pPr>
        <w:spacing w:before="54" w:line="221" w:lineRule="auto"/>
        <w:ind w:left="666"/>
        <w:rPr>
          <w:sz w:val="31"/>
          <w:szCs w:val="31"/>
          <w:rFonts w:ascii="仿宋" w:hAnsi="仿宋" w:eastAsia="仿宋" w:cs="仿宋"/>
        </w:rPr>
      </w:pPr>
      <w:r>
        <w:rPr>
          <w:spacing w:val="3"/>
          <w:sz w:val="31"/>
          <w:szCs w:val="31"/>
          <w:rFonts w:ascii="仿宋" w:hAnsi="仿宋" w:eastAsia="仿宋" w:cs="仿宋"/>
        </w:rPr>
        <w:t>公务用车运行维护费支出</w:t>
      </w:r>
      <w:r>
        <w:rPr>
          <w:spacing w:val="3"/>
          <w:sz w:val="31"/>
          <w:lang w:val="en-US" w:eastAsia="zh-CN"/>
          <w:szCs w:val="31"/>
          <w:rFonts w:ascii="仿宋" w:hAnsi="仿宋" w:eastAsia="仿宋" w:cs="仿宋" w:hint="eastAsia"/>
        </w:rPr>
        <w:t>4.75</w:t>
      </w:r>
      <w:r>
        <w:rPr>
          <w:spacing w:val="3"/>
          <w:sz w:val="31"/>
          <w:szCs w:val="31"/>
          <w:rFonts w:ascii="仿宋" w:hAnsi="仿宋" w:eastAsia="仿宋" w:cs="仿宋"/>
        </w:rPr>
        <w:t>万元，主要是</w:t>
      </w:r>
      <w:r>
        <w:rPr>
          <w:spacing w:val="-8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"/>
          <w:sz w:val="31"/>
          <w:lang w:eastAsia="zh-CN"/>
          <w:szCs w:val="31"/>
          <w:rFonts w:ascii="仿宋" w:hAnsi="仿宋" w:eastAsia="仿宋" w:cs="仿宋" w:hint="eastAsia"/>
        </w:rPr>
        <w:t>维修养护及其相关</w:t>
      </w:r>
      <w:r>
        <w:rPr>
          <w:spacing w:val="3"/>
          <w:sz w:val="31"/>
          <w:szCs w:val="31"/>
          <w:rFonts w:ascii="仿宋" w:hAnsi="仿宋" w:eastAsia="仿宋" w:cs="仿宋"/>
        </w:rPr>
        <w:t>。</w:t>
      </w:r>
    </w:p>
    <w:p w14:paraId="65A86E0F">
      <w:pPr>
        <w:spacing w:line="221" w:lineRule="auto"/>
        <w:rPr>
          <w:sz w:val="31"/>
          <w:szCs w:val="31"/>
          <w:rFonts w:ascii="仿宋" w:hAnsi="仿宋" w:eastAsia="仿宋" w:cs="仿宋"/>
        </w:rPr>
        <w:sectPr>
          <w:footerReference r:id="rId25" w:type="default"/>
          <w:docGrid w:type="default" w:charSpace="0"/>
          <w:pgSz w:w="11907" w:h="16839"/>
          <w:pgMar w:top="1431" w:right="1642" w:bottom="1153" w:left="1785" w:header="0" w:footer="965" w:gutter="0"/>
          <w:cols w:space="720" w:num="1"/>
        </w:sectPr>
      </w:pPr>
    </w:p>
    <w:p w14:paraId="74924F3C">
      <w:pPr>
        <w:jc w:val="both"/>
        <w:spacing w:before="160" w:line="364" w:lineRule="auto"/>
        <w:ind w:firstLine="644" w:left="21" w:right="3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仿宋" w:hAnsi="仿宋" w:eastAsia="仿宋" w:cs="仿宋"/>
        </w:rPr>
        <w:t>公务接待费预算为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7"/>
          <w:sz w:val="31"/>
          <w:szCs w:val="31"/>
          <w:rFonts w:ascii="仿宋" w:hAnsi="仿宋" w:eastAsia="仿宋" w:cs="仿宋"/>
        </w:rPr>
        <w:t>万元，支出决算为</w:t>
      </w:r>
      <w:r>
        <w:rPr>
          <w:spacing w:val="21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2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万元，完成预</w:t>
      </w:r>
      <w:r>
        <w:rPr>
          <w:spacing w:val="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7"/>
          <w:sz w:val="31"/>
          <w:szCs w:val="31"/>
          <w:rFonts w:ascii="仿宋" w:hAnsi="仿宋" w:eastAsia="仿宋" w:cs="仿宋"/>
        </w:rPr>
        <w:t xml:space="preserve">算的 </w:t>
      </w:r>
      <w:r>
        <w:rPr>
          <w:spacing w:val="-17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17"/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-17"/>
          <w:sz w:val="31"/>
          <w:szCs w:val="31"/>
          <w:rFonts w:ascii="宋体" w:hAnsi="宋体" w:eastAsia="宋体" w:cs="宋体"/>
        </w:rPr>
        <w:t>%</w:t>
      </w:r>
      <w:r>
        <w:rPr>
          <w:spacing w:val="-17"/>
          <w:sz w:val="31"/>
          <w:szCs w:val="31"/>
          <w:rFonts w:ascii="仿宋" w:hAnsi="仿宋" w:eastAsia="仿宋" w:cs="仿宋"/>
        </w:rPr>
        <w:t>；较</w:t>
      </w:r>
      <w:r>
        <w:rPr>
          <w:spacing w:val="-5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7"/>
          <w:sz w:val="31"/>
          <w:szCs w:val="31"/>
          <w:rFonts w:ascii="宋体" w:hAnsi="宋体" w:eastAsia="宋体" w:cs="宋体"/>
        </w:rPr>
        <w:t>2022</w:t>
      </w:r>
      <w:r>
        <w:rPr>
          <w:spacing w:val="-5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-17"/>
          <w:sz w:val="31"/>
          <w:szCs w:val="31"/>
          <w:rFonts w:ascii="仿宋" w:hAnsi="仿宋" w:eastAsia="仿宋" w:cs="仿宋"/>
        </w:rPr>
        <w:t xml:space="preserve">年度增加（减少） </w:t>
      </w:r>
      <w:r>
        <w:rPr>
          <w:spacing w:val="-17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-17"/>
          <w:sz w:val="31"/>
          <w:szCs w:val="31"/>
          <w:rFonts w:ascii="仿宋" w:hAnsi="仿宋" w:eastAsia="仿宋" w:cs="仿宋"/>
        </w:rPr>
        <w:t>万元，增长（下降）</w:t>
      </w:r>
      <w:r>
        <w:rPr>
          <w:spacing w:val="-7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7"/>
          <w:sz w:val="31"/>
          <w:szCs w:val="31"/>
          <w:rFonts w:ascii="宋体" w:hAnsi="宋体" w:eastAsia="宋体" w:cs="宋体"/>
        </w:rPr>
        <w:t>%</w:t>
      </w:r>
      <w:r>
        <w:rPr>
          <w:spacing w:val="-17"/>
          <w:sz w:val="31"/>
          <w:szCs w:val="31"/>
          <w:rFonts w:ascii="仿宋" w:hAnsi="仿宋" w:eastAsia="仿宋" w:cs="仿宋"/>
        </w:rPr>
        <w:t>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5"/>
          <w:sz w:val="31"/>
          <w:szCs w:val="31"/>
          <w:rFonts w:ascii="仿宋" w:hAnsi="仿宋" w:eastAsia="仿宋" w:cs="仿宋"/>
        </w:rPr>
        <w:t>主要原因是</w:t>
      </w:r>
      <w:r>
        <w:rPr>
          <w:spacing w:val="-69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5"/>
          <w:sz w:val="31"/>
          <w:szCs w:val="31"/>
          <w:rFonts w:ascii="仿宋" w:hAnsi="仿宋" w:eastAsia="仿宋" w:cs="仿宋"/>
        </w:rPr>
        <w:t>…</w:t>
      </w:r>
      <w:r>
        <w:rPr>
          <w:spacing w:val="-7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5"/>
          <w:sz w:val="31"/>
          <w:szCs w:val="31"/>
          <w:rFonts w:ascii="仿宋" w:hAnsi="仿宋" w:eastAsia="仿宋" w:cs="仿宋"/>
        </w:rPr>
        <w:t>…。决算数大（小）</w:t>
      </w:r>
      <w:r>
        <w:rPr>
          <w:spacing w:val="-6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5"/>
          <w:sz w:val="31"/>
          <w:szCs w:val="31"/>
          <w:rFonts w:ascii="仿宋" w:hAnsi="仿宋" w:eastAsia="仿宋" w:cs="仿宋"/>
        </w:rPr>
        <w:t>于预算数的主要原因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20"/>
          <w:sz w:val="31"/>
          <w:szCs w:val="31"/>
          <w:rFonts w:ascii="仿宋" w:hAnsi="仿宋" w:eastAsia="仿宋" w:cs="仿宋"/>
        </w:rPr>
        <w:t>是</w:t>
      </w:r>
      <w:r>
        <w:rPr>
          <w:spacing w:val="-9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20"/>
          <w:sz w:val="31"/>
          <w:szCs w:val="31"/>
          <w:rFonts w:ascii="仿宋" w:hAnsi="仿宋" w:eastAsia="仿宋" w:cs="仿宋"/>
        </w:rPr>
        <w:t>…</w:t>
      </w:r>
      <w:r>
        <w:rPr>
          <w:spacing w:val="-10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20"/>
          <w:sz w:val="31"/>
          <w:szCs w:val="31"/>
          <w:rFonts w:ascii="仿宋" w:hAnsi="仿宋" w:eastAsia="仿宋" w:cs="仿宋"/>
        </w:rPr>
        <w:t>…。其中：</w:t>
      </w:r>
    </w:p>
    <w:p w14:paraId="73C75E37">
      <w:pPr>
        <w:jc w:val="both"/>
        <w:spacing w:before="52" w:line="361" w:lineRule="auto"/>
        <w:ind w:firstLine="649" w:left="33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>外事接待费支出</w:t>
      </w:r>
      <w:r>
        <w:rPr>
          <w:spacing w:val="8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  万元。主要用于……。全年共接</w:t>
      </w:r>
      <w:r>
        <w:rPr>
          <w:spacing w:val="7"/>
          <w:sz w:val="31"/>
          <w:szCs w:val="31"/>
          <w:rFonts w:ascii="仿宋" w:hAnsi="仿宋" w:eastAsia="仿宋" w:cs="仿宋"/>
        </w:rPr>
        <w:t>待外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事来访团组数</w:t>
      </w:r>
      <w:r>
        <w:rPr>
          <w:spacing w:val="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5"/>
          <w:sz w:val="31"/>
          <w:szCs w:val="31"/>
          <w:rFonts w:ascii="仿宋" w:hAnsi="仿宋" w:eastAsia="仿宋" w:cs="仿宋"/>
        </w:rPr>
        <w:t xml:space="preserve">  个、来访外宾  </w:t>
      </w:r>
      <w:r>
        <w:rPr>
          <w:spacing w:val="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5"/>
          <w:sz w:val="31"/>
          <w:szCs w:val="31"/>
          <w:rFonts w:ascii="仿宋" w:hAnsi="仿宋" w:eastAsia="仿宋" w:cs="仿宋"/>
        </w:rPr>
        <w:t xml:space="preserve"> 人次（不包括陪同人员）。</w:t>
      </w:r>
      <w:r>
        <w:rPr>
          <w:spacing w:val="1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来访外宾主要包括</w:t>
      </w:r>
      <w:r>
        <w:rPr>
          <w:spacing w:val="-9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…</w:t>
      </w:r>
      <w:r>
        <w:rPr>
          <w:spacing w:val="-10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…。</w:t>
      </w:r>
    </w:p>
    <w:p w14:paraId="5BD9C827">
      <w:pPr>
        <w:jc w:val="both"/>
        <w:spacing w:before="53" w:line="362" w:lineRule="auto"/>
        <w:ind w:firstLine="640" w:left="26" w:right="90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仿宋" w:hAnsi="仿宋" w:eastAsia="仿宋" w:cs="仿宋"/>
        </w:rPr>
        <w:t xml:space="preserve">其他国内公务接待支出 </w:t>
      </w:r>
      <w:r>
        <w:rPr>
          <w:spacing w:val="8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 万元。主要用于……。全年共</w:t>
      </w:r>
      <w:r>
        <w:rPr>
          <w:spacing w:val="9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2"/>
          <w:sz w:val="31"/>
          <w:szCs w:val="31"/>
          <w:rFonts w:ascii="仿宋" w:hAnsi="仿宋" w:eastAsia="仿宋" w:cs="仿宋"/>
        </w:rPr>
        <w:t>接待国内来访团组</w:t>
      </w:r>
      <w:r>
        <w:rPr>
          <w:spacing w:val="33"/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33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33"/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22"/>
          <w:sz w:val="31"/>
          <w:szCs w:val="31"/>
          <w:rFonts w:ascii="仿宋" w:hAnsi="仿宋" w:eastAsia="仿宋" w:cs="仿宋"/>
        </w:rPr>
        <w:t>个、来宾</w:t>
      </w:r>
      <w:r>
        <w:rPr>
          <w:spacing w:val="34"/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34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3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2"/>
          <w:sz w:val="31"/>
          <w:szCs w:val="31"/>
          <w:rFonts w:ascii="仿宋" w:hAnsi="仿宋" w:eastAsia="仿宋" w:cs="仿宋"/>
        </w:rPr>
        <w:t>人次（不包括陪同人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1"/>
          <w:sz w:val="31"/>
          <w:szCs w:val="31"/>
          <w:rFonts w:ascii="仿宋" w:hAnsi="仿宋" w:eastAsia="仿宋" w:cs="仿宋"/>
        </w:rPr>
        <w:t>员） 。</w:t>
      </w:r>
    </w:p>
    <w:p w14:paraId="167D758C">
      <w:pPr>
        <w:spacing w:before="47" w:line="355" w:lineRule="auto"/>
        <w:ind w:firstLine="649" w:left="25" w:right="89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注：要说明国内公务接待的批次和人数，没有的也要分</w:t>
      </w:r>
      <w:r>
        <w:rPr>
          <w:color w:val="FF0000"/>
          <w:spacing w:val="11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4"/>
          <w:sz w:val="31"/>
          <w:szCs w:val="31"/>
          <w:rFonts w:ascii="仿宋" w:hAnsi="仿宋" w:eastAsia="仿宋" w:cs="仿宋"/>
        </w:rPr>
        <w:t>别填列</w:t>
      </w:r>
      <w:r>
        <w:rPr>
          <w:color w:val="FF0000"/>
          <w:spacing w:val="-53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4"/>
          <w:sz w:val="31"/>
          <w:szCs w:val="31"/>
          <w:rFonts w:ascii="宋体" w:hAnsi="宋体" w:eastAsia="宋体" w:cs="宋体"/>
        </w:rPr>
        <w:t>0</w:t>
      </w:r>
      <w:r>
        <w:rPr>
          <w:color w:val="FF0000"/>
          <w:spacing w:val="-59"/>
          <w:sz w:val="31"/>
          <w:szCs w:val="31"/>
          <w:rFonts w:ascii="宋体" w:hAnsi="宋体" w:eastAsia="宋体" w:cs="宋体"/>
        </w:rPr>
        <w:t xml:space="preserve"> </w:t>
      </w:r>
      <w:r>
        <w:rPr>
          <w:color w:val="FF0000"/>
          <w:spacing w:val="4"/>
          <w:sz w:val="31"/>
          <w:szCs w:val="31"/>
          <w:rFonts w:ascii="仿宋" w:hAnsi="仿宋" w:eastAsia="仿宋" w:cs="仿宋"/>
        </w:rPr>
        <w:t>个和</w:t>
      </w:r>
      <w:r>
        <w:rPr>
          <w:color w:val="FF0000"/>
          <w:spacing w:val="-58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4"/>
          <w:sz w:val="31"/>
          <w:szCs w:val="31"/>
          <w:rFonts w:ascii="宋体" w:hAnsi="宋体" w:eastAsia="宋体" w:cs="宋体"/>
        </w:rPr>
        <w:t>0</w:t>
      </w:r>
      <w:r>
        <w:rPr>
          <w:color w:val="FF0000"/>
          <w:spacing w:val="-62"/>
          <w:sz w:val="31"/>
          <w:szCs w:val="31"/>
          <w:rFonts w:ascii="宋体" w:hAnsi="宋体" w:eastAsia="宋体" w:cs="宋体"/>
        </w:rPr>
        <w:t xml:space="preserve"> </w:t>
      </w:r>
      <w:r>
        <w:rPr>
          <w:color w:val="FF0000"/>
          <w:spacing w:val="4"/>
          <w:sz w:val="31"/>
          <w:szCs w:val="31"/>
          <w:rFonts w:ascii="仿宋" w:hAnsi="仿宋" w:eastAsia="仿宋" w:cs="仿宋"/>
        </w:rPr>
        <w:t>人或附说明无公务接待批次和人数字样。</w:t>
      </w:r>
    </w:p>
    <w:p w14:paraId="5EC9158C">
      <w:pPr>
        <w:pStyle w:val="2"/>
        <w:spacing w:line="287" w:lineRule="auto"/>
      </w:pPr>
    </w:p>
    <w:p w14:paraId="3215579C">
      <w:pPr>
        <w:pStyle w:val="2"/>
        <w:spacing w:line="287" w:lineRule="auto"/>
      </w:pPr>
    </w:p>
    <w:p w14:paraId="70E07C8B">
      <w:pPr>
        <w:outlineLvl w:val="3"/>
        <w:spacing w:before="101" w:line="224" w:lineRule="auto"/>
        <w:ind w:left="750"/>
        <w:rPr>
          <w:sz w:val="31"/>
          <w:szCs w:val="31"/>
          <w:rFonts w:ascii="黑体" w:hAnsi="黑体" w:eastAsia="黑体" w:cs="黑体"/>
        </w:rPr>
      </w:pPr>
      <w:r>
        <w:rPr>
          <w:spacing w:val="6"/>
          <w:sz w:val="31"/>
          <w:szCs w:val="31"/>
          <w:rFonts w:ascii="黑体" w:hAnsi="黑体" w:eastAsia="黑体" w:cs="黑体"/>
        </w:rPr>
        <w:t>十、关于</w:t>
      </w:r>
      <w:r>
        <w:rPr>
          <w:spacing w:val="-52"/>
          <w:sz w:val="31"/>
          <w:szCs w:val="31"/>
          <w:rFonts w:ascii="黑体" w:hAnsi="黑体" w:eastAsia="黑体" w:cs="黑体"/>
        </w:rPr>
        <w:t xml:space="preserve"> </w:t>
      </w:r>
      <w:r>
        <w:rPr>
          <w:spacing w:val="6"/>
          <w:sz w:val="31"/>
          <w:szCs w:val="31"/>
          <w:rFonts w:ascii="黑体" w:hAnsi="黑体" w:eastAsia="黑体" w:cs="黑体"/>
        </w:rPr>
        <w:t>2023</w:t>
      </w:r>
      <w:r>
        <w:rPr>
          <w:spacing w:val="-63"/>
          <w:sz w:val="31"/>
          <w:szCs w:val="31"/>
          <w:rFonts w:ascii="黑体" w:hAnsi="黑体" w:eastAsia="黑体" w:cs="黑体"/>
        </w:rPr>
        <w:t xml:space="preserve"> </w:t>
      </w:r>
      <w:r>
        <w:rPr>
          <w:spacing w:val="6"/>
          <w:sz w:val="31"/>
          <w:szCs w:val="31"/>
          <w:rFonts w:ascii="黑体" w:hAnsi="黑体" w:eastAsia="黑体" w:cs="黑体"/>
        </w:rPr>
        <w:t>年度绩效评价情况说明</w:t>
      </w:r>
    </w:p>
    <w:p w14:paraId="428B0B18">
      <w:pPr>
        <w:jc w:val="both"/>
        <w:spacing w:before="252" w:line="364" w:lineRule="auto"/>
        <w:ind w:firstLine="648" w:left="23" w:right="102"/>
        <w:rPr>
          <w:sz w:val="31"/>
          <w:szCs w:val="31"/>
          <w:rFonts w:ascii="仿宋" w:hAnsi="仿宋" w:eastAsia="仿宋" w:cs="仿宋"/>
        </w:rPr>
      </w:pPr>
      <w:r>
        <w:rPr>
          <w:spacing w:val="5"/>
          <w:sz w:val="31"/>
          <w:szCs w:val="31"/>
          <w:rFonts w:ascii="仿宋" w:hAnsi="仿宋" w:eastAsia="仿宋" w:cs="仿宋"/>
        </w:rPr>
        <w:t>（</w:t>
      </w:r>
      <w:r>
        <w:rPr>
          <w:spacing w:val="-59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一）绩效评价工作开展情况。绩效评价工作开展情况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说明为：根据预算绩效管理要求，本部门组织对 </w:t>
      </w:r>
      <w:r>
        <w:rPr>
          <w:spacing w:val="8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8"/>
          <w:sz w:val="31"/>
          <w:szCs w:val="31"/>
          <w:rFonts w:ascii="仿宋" w:hAnsi="仿宋" w:eastAsia="仿宋" w:cs="仿宋"/>
        </w:rPr>
        <w:t>年度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一般公共预算项目支出全面开展绩效自评，其中，一级项目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1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1"/>
          <w:sz w:val="31"/>
          <w:lang w:val="en-US" w:eastAsia="zh-CN"/>
          <w:szCs w:val="31"/>
          <w:rFonts w:ascii="宋体" w:hAnsi="宋体" w:eastAsia="宋体" w:cs="宋体" w:hint="eastAsia"/>
        </w:rPr>
        <w:t>2</w:t>
      </w:r>
      <w:r>
        <w:rPr>
          <w:spacing w:val="1"/>
          <w:sz w:val="31"/>
          <w:szCs w:val="31"/>
          <w:rFonts w:ascii="仿宋" w:hAnsi="仿宋" w:eastAsia="仿宋" w:cs="仿宋"/>
        </w:rPr>
        <w:t>个，二级项目</w:t>
      </w:r>
      <w:r>
        <w:rPr>
          <w:spacing w:val="1"/>
          <w:sz w:val="31"/>
          <w:lang w:val="en-US" w:eastAsia="zh-CN"/>
          <w:szCs w:val="31"/>
          <w:rFonts w:ascii="仿宋" w:hAnsi="仿宋" w:eastAsia="仿宋" w:cs="仿宋" w:hint="eastAsia"/>
        </w:rPr>
        <w:t>42</w:t>
      </w:r>
      <w:r>
        <w:rPr>
          <w:spacing w:val="1"/>
          <w:sz w:val="31"/>
          <w:szCs w:val="31"/>
          <w:rFonts w:ascii="仿宋" w:hAnsi="仿宋" w:eastAsia="仿宋" w:cs="仿宋"/>
        </w:rPr>
        <w:t>个，共涉及资金</w:t>
      </w:r>
      <w:r>
        <w:rPr>
          <w:spacing w:val="-22"/>
          <w:sz w:val="31"/>
          <w:lang w:val="en-US" w:eastAsia="zh-CN"/>
          <w:szCs w:val="31"/>
          <w:rFonts w:ascii="仿宋" w:hAnsi="仿宋" w:eastAsia="仿宋" w:cs="仿宋" w:hint="eastAsia"/>
        </w:rPr>
        <w:t>1303</w:t>
      </w:r>
      <w:r>
        <w:rPr>
          <w:spacing w:val="1"/>
          <w:sz w:val="31"/>
          <w:szCs w:val="31"/>
          <w:rFonts w:ascii="仿宋" w:hAnsi="仿宋" w:eastAsia="仿宋" w:cs="仿宋"/>
        </w:rPr>
        <w:t>万元，</w:t>
      </w:r>
      <w:r>
        <w:rPr>
          <w:spacing w:val="-7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1"/>
          <w:sz w:val="31"/>
          <w:szCs w:val="31"/>
          <w:rFonts w:ascii="仿宋" w:hAnsi="仿宋" w:eastAsia="仿宋" w:cs="仿宋"/>
        </w:rPr>
        <w:t>占一般公共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预算项目支出总额的</w:t>
      </w:r>
      <w:r>
        <w:rPr>
          <w:spacing w:val="6"/>
          <w:sz w:val="31"/>
          <w:lang w:val="en-US" w:eastAsia="zh-CN"/>
          <w:szCs w:val="31"/>
          <w:rFonts w:ascii="仿宋" w:hAnsi="仿宋" w:eastAsia="仿宋" w:cs="仿宋" w:hint="eastAsia"/>
        </w:rPr>
        <w:t>55</w:t>
      </w:r>
      <w:r>
        <w:rPr>
          <w:spacing w:val="6"/>
          <w:sz w:val="31"/>
          <w:szCs w:val="31"/>
          <w:rFonts w:ascii="宋体" w:hAnsi="宋体" w:eastAsia="宋体" w:cs="宋体"/>
        </w:rPr>
        <w:t>%</w:t>
      </w:r>
      <w:r>
        <w:rPr>
          <w:spacing w:val="6"/>
          <w:sz w:val="31"/>
          <w:szCs w:val="31"/>
          <w:rFonts w:ascii="仿宋" w:hAnsi="仿宋" w:eastAsia="仿宋" w:cs="仿宋"/>
        </w:rPr>
        <w:t>。组织对</w:t>
      </w:r>
      <w:r>
        <w:rPr>
          <w:spacing w:val="-5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宋体" w:hAnsi="宋体" w:eastAsia="宋体" w:cs="宋体"/>
        </w:rPr>
        <w:t>2023</w:t>
      </w:r>
      <w:r>
        <w:rPr>
          <w:spacing w:val="-60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年度</w:t>
      </w:r>
      <w:r>
        <w:rPr>
          <w:spacing w:val="-67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lang w:eastAsia="zh-CN"/>
          <w:szCs w:val="31"/>
          <w:rFonts w:ascii="宋体" w:hAnsi="宋体" w:eastAsia="宋体" w:cs="宋体" w:hint="eastAsia"/>
        </w:rPr>
        <w:t>清雪项目</w:t>
      </w:r>
      <w:r>
        <w:rPr>
          <w:spacing w:val="6"/>
          <w:sz w:val="31"/>
          <w:szCs w:val="31"/>
          <w:rFonts w:ascii="仿宋" w:hAnsi="仿宋" w:eastAsia="仿宋" w:cs="仿宋"/>
        </w:rPr>
        <w:t>等</w:t>
      </w:r>
      <w:r>
        <w:rPr>
          <w:spacing w:val="-6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政府性基金预算项目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42个</w:t>
      </w:r>
      <w:r>
        <w:rPr>
          <w:spacing w:val="4"/>
          <w:sz w:val="31"/>
          <w:szCs w:val="31"/>
          <w:rFonts w:ascii="仿宋" w:hAnsi="仿宋" w:eastAsia="仿宋" w:cs="仿宋"/>
        </w:rPr>
        <w:t>开展绩效自评，共涉及资金</w:t>
      </w:r>
      <w:r>
        <w:rPr>
          <w:spacing w:val="4"/>
          <w:sz w:val="31"/>
          <w:lang w:val="en-US" w:eastAsia="zh-CN"/>
          <w:szCs w:val="31"/>
          <w:rFonts w:ascii="仿宋" w:hAnsi="仿宋" w:eastAsia="仿宋" w:cs="仿宋" w:hint="eastAsia"/>
        </w:rPr>
        <w:t>1303</w:t>
      </w:r>
      <w:r>
        <w:rPr>
          <w:spacing w:val="4"/>
          <w:sz w:val="31"/>
          <w:szCs w:val="31"/>
          <w:rFonts w:ascii="仿宋" w:hAnsi="仿宋" w:eastAsia="仿宋" w:cs="仿宋"/>
        </w:rPr>
        <w:t>万元，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占政府性基金预算项目支出总额的</w:t>
      </w:r>
      <w:r>
        <w:rPr>
          <w:spacing w:val="8"/>
          <w:sz w:val="31"/>
          <w:lang w:val="en-US" w:eastAsia="zh-CN"/>
          <w:szCs w:val="31"/>
          <w:rFonts w:ascii="仿宋" w:hAnsi="仿宋" w:eastAsia="仿宋" w:cs="仿宋" w:hint="eastAsia"/>
        </w:rPr>
        <w:t>55</w:t>
      </w:r>
      <w:r>
        <w:rPr>
          <w:spacing w:val="8"/>
          <w:sz w:val="31"/>
          <w:szCs w:val="31"/>
          <w:rFonts w:ascii="宋体" w:hAnsi="宋体" w:eastAsia="宋体" w:cs="宋体"/>
        </w:rPr>
        <w:t>%</w:t>
      </w:r>
      <w:r>
        <w:rPr>
          <w:spacing w:val="8"/>
          <w:sz w:val="31"/>
          <w:szCs w:val="31"/>
          <w:rFonts w:ascii="仿宋" w:hAnsi="仿宋" w:eastAsia="仿宋" w:cs="仿宋"/>
        </w:rPr>
        <w:t>。</w:t>
      </w:r>
    </w:p>
    <w:p w14:paraId="52ACE703">
      <w:pPr>
        <w:spacing w:before="49" w:line="221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注：请对绩效评价情况进行简要说明。</w:t>
      </w:r>
    </w:p>
    <w:p w14:paraId="452ED05B">
      <w:pPr>
        <w:spacing w:before="51" w:line="221" w:lineRule="auto"/>
        <w:ind w:left="675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8"/>
          <w:sz w:val="31"/>
          <w:szCs w:val="31"/>
          <w:rFonts w:ascii="仿宋" w:hAnsi="仿宋" w:eastAsia="仿宋" w:cs="仿宋"/>
        </w:rPr>
        <w:t>注：请对单位整体支出绩效评价情况进行简要说明。</w:t>
      </w:r>
    </w:p>
    <w:p w14:paraId="25D4DD81">
      <w:pPr>
        <w:spacing w:before="253" w:line="356" w:lineRule="auto"/>
        <w:ind w:firstLine="622" w:left="36" w:right="22"/>
        <w:rPr>
          <w:sz w:val="31"/>
          <w:szCs w:val="31"/>
          <w:rFonts w:ascii="宋体" w:hAnsi="宋体" w:eastAsia="宋体" w:cs="宋体"/>
        </w:rPr>
      </w:pPr>
      <w:r>
        <w:rPr>
          <w:spacing w:val="-4"/>
          <w:sz w:val="31"/>
          <w:szCs w:val="31"/>
          <w:rFonts w:ascii="仿宋" w:hAnsi="仿宋" w:eastAsia="仿宋" w:cs="仿宋"/>
        </w:rPr>
        <w:t>（二）</w:t>
      </w:r>
      <w:r>
        <w:rPr>
          <w:spacing w:val="-6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4"/>
          <w:sz w:val="31"/>
          <w:szCs w:val="31"/>
          <w:rFonts w:ascii="仿宋" w:hAnsi="仿宋" w:eastAsia="仿宋" w:cs="仿宋"/>
        </w:rPr>
        <w:t>项目绩效自评结果（如有）。除涉密敏感内容外，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省级部门原则上应予以公开。按照如下格式说明</w:t>
      </w:r>
      <w:r>
        <w:rPr>
          <w:spacing w:val="-8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宋体" w:hAnsi="宋体" w:eastAsia="宋体" w:cs="宋体"/>
        </w:rPr>
        <w:t>:</w:t>
      </w:r>
    </w:p>
    <w:p w14:paraId="0679D73A">
      <w:pPr>
        <w:spacing w:before="49" w:line="366" w:lineRule="auto"/>
        <w:ind w:firstLine="641" w:left="21" w:right="107"/>
        <w:rPr>
          <w:sz w:val="31"/>
          <w:szCs w:val="31"/>
          <w:rFonts w:ascii="仿宋" w:hAnsi="仿宋" w:eastAsia="仿宋" w:cs="仿宋"/>
        </w:rPr>
      </w:pPr>
      <w:r>
        <w:rPr>
          <w:sz w:val="31"/>
          <w:szCs w:val="31"/>
          <w:rFonts w:ascii="宋体" w:hAnsi="宋体" w:eastAsia="宋体" w:cs="宋体"/>
        </w:rPr>
        <w:t>XXX</w:t>
      </w:r>
      <w:r>
        <w:rPr>
          <w:spacing w:val="8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项目绩效自评情况：根据年初设定的绩效目</w:t>
      </w:r>
      <w:r>
        <w:rPr>
          <w:spacing w:val="7"/>
          <w:sz w:val="31"/>
          <w:szCs w:val="31"/>
          <w:rFonts w:ascii="仿宋" w:hAnsi="仿宋" w:eastAsia="仿宋" w:cs="仿宋"/>
        </w:rPr>
        <w:t>标，项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目绩效自评得分为</w:t>
      </w:r>
      <w:r>
        <w:rPr>
          <w:spacing w:val="-64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szCs w:val="31"/>
          <w:rFonts w:ascii="宋体" w:hAnsi="宋体" w:eastAsia="宋体" w:cs="宋体"/>
        </w:rPr>
        <w:t>XX</w:t>
      </w:r>
      <w:r>
        <w:rPr>
          <w:spacing w:val="-60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分。项目全年预算数为</w:t>
      </w:r>
      <w:r>
        <w:rPr>
          <w:spacing w:val="-64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szCs w:val="31"/>
          <w:rFonts w:ascii="宋体" w:hAnsi="宋体" w:eastAsia="宋体" w:cs="宋体"/>
        </w:rPr>
        <w:t>XX</w:t>
      </w:r>
      <w:r>
        <w:rPr>
          <w:spacing w:val="-4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万元，执行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数为</w:t>
      </w:r>
      <w:r>
        <w:rPr>
          <w:spacing w:val="-65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szCs w:val="31"/>
          <w:rFonts w:ascii="宋体" w:hAnsi="宋体" w:eastAsia="宋体" w:cs="宋体"/>
        </w:rPr>
        <w:t>XX</w:t>
      </w:r>
      <w:r>
        <w:rPr>
          <w:spacing w:val="-4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万元，完成预算的</w:t>
      </w:r>
      <w:r>
        <w:rPr>
          <w:sz w:val="31"/>
          <w:szCs w:val="31"/>
          <w:rFonts w:ascii="宋体" w:hAnsi="宋体" w:eastAsia="宋体" w:cs="宋体"/>
        </w:rPr>
        <w:t>XX</w:t>
      </w:r>
      <w:r>
        <w:rPr>
          <w:spacing w:val="8"/>
          <w:sz w:val="31"/>
          <w:szCs w:val="31"/>
          <w:rFonts w:ascii="宋体" w:hAnsi="宋体" w:eastAsia="宋体" w:cs="宋体"/>
        </w:rPr>
        <w:t>%</w:t>
      </w:r>
      <w:r>
        <w:rPr>
          <w:spacing w:val="8"/>
          <w:sz w:val="31"/>
          <w:szCs w:val="31"/>
          <w:rFonts w:ascii="仿宋" w:hAnsi="仿宋" w:eastAsia="仿宋" w:cs="仿宋"/>
        </w:rPr>
        <w:t>。项目绩效目标完成情况：一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是……；二是</w:t>
      </w:r>
      <w:r>
        <w:rPr>
          <w:spacing w:val="-8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…</w:t>
      </w:r>
      <w:r>
        <w:rPr>
          <w:spacing w:val="-10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…</w:t>
      </w:r>
      <w:r>
        <w:rPr>
          <w:spacing w:val="-12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。发现的主要问题及原因：一是</w:t>
      </w:r>
      <w:r>
        <w:rPr>
          <w:spacing w:val="-10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…</w:t>
      </w:r>
      <w:r>
        <w:rPr>
          <w:spacing w:val="-10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…；二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是……。下一步改进措施：一是……；二是</w:t>
      </w:r>
      <w:r>
        <w:rPr>
          <w:spacing w:val="-9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…</w:t>
      </w:r>
      <w:r>
        <w:rPr>
          <w:spacing w:val="-10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…。</w:t>
      </w:r>
    </w:p>
    <w:p w14:paraId="3B5E1873">
      <w:pPr>
        <w:spacing w:before="49" w:line="224" w:lineRule="auto"/>
        <w:ind w:left="663"/>
        <w:rPr>
          <w:sz w:val="31"/>
          <w:szCs w:val="31"/>
          <w:rFonts w:ascii="仿宋" w:hAnsi="仿宋" w:eastAsia="仿宋" w:cs="仿宋"/>
        </w:rPr>
      </w:pPr>
      <w:r>
        <w:rPr>
          <w:spacing w:val="-3"/>
          <w:sz w:val="31"/>
          <w:szCs w:val="31"/>
          <w:rFonts w:ascii="宋体" w:hAnsi="宋体" w:eastAsia="宋体" w:cs="宋体"/>
        </w:rPr>
        <w:t>XXX</w:t>
      </w:r>
      <w:r>
        <w:rPr>
          <w:spacing w:val="-52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项目绩效自评情况：</w:t>
      </w:r>
      <w:r>
        <w:rPr>
          <w:spacing w:val="-7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…</w:t>
      </w:r>
      <w:r>
        <w:rPr>
          <w:spacing w:val="-10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…。</w:t>
      </w:r>
    </w:p>
    <w:p w14:paraId="7C0283E4">
      <w:pPr>
        <w:spacing w:before="250" w:line="364" w:lineRule="auto"/>
        <w:ind w:firstLine="625" w:left="34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仿宋" w:hAnsi="仿宋" w:eastAsia="仿宋" w:cs="仿宋"/>
        </w:rPr>
        <w:t>（三）</w:t>
      </w:r>
      <w:r>
        <w:rPr>
          <w:spacing w:val="-3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部门评价结果（如有）。除涉密敏感内容外，省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级部门原则上应将部门评价结果以报告的形式予以公开。报</w:t>
      </w:r>
      <w:r>
        <w:rPr>
          <w:spacing w:val="1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0"/>
          <w:sz w:val="31"/>
          <w:szCs w:val="31"/>
          <w:rFonts w:ascii="仿宋" w:hAnsi="仿宋" w:eastAsia="仿宋" w:cs="仿宋"/>
        </w:rPr>
        <w:t>告框架可参考《项目支出绩效评价管理办法》（吉财绩〔</w:t>
      </w:r>
      <w:r>
        <w:rPr>
          <w:spacing w:val="-10"/>
          <w:sz w:val="31"/>
          <w:szCs w:val="31"/>
          <w:rFonts w:ascii="宋体" w:hAnsi="宋体" w:eastAsia="宋体" w:cs="宋体"/>
        </w:rPr>
        <w:t>2022</w:t>
      </w:r>
      <w:r>
        <w:rPr>
          <w:spacing w:val="-10"/>
          <w:sz w:val="31"/>
          <w:szCs w:val="31"/>
          <w:rFonts w:ascii="仿宋" w:hAnsi="仿宋" w:eastAsia="仿宋" w:cs="仿宋"/>
        </w:rPr>
        <w:t>〕</w:t>
      </w:r>
      <w:r>
        <w:rPr>
          <w:spacing w:val="1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宋体" w:hAnsi="宋体" w:eastAsia="宋体" w:cs="宋体"/>
        </w:rPr>
        <w:t>711</w:t>
      </w:r>
      <w:r>
        <w:rPr>
          <w:spacing w:val="-39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号）中的《项目支出绩效评价报告（参考提纲）》。</w:t>
      </w:r>
    </w:p>
    <w:p w14:paraId="2F192125">
      <w:pPr>
        <w:spacing w:line="364" w:lineRule="auto"/>
        <w:rPr>
          <w:sz w:val="31"/>
          <w:szCs w:val="31"/>
          <w:rFonts w:ascii="仿宋" w:hAnsi="仿宋" w:eastAsia="仿宋" w:cs="仿宋"/>
        </w:rPr>
        <w:sectPr>
          <w:footerReference r:id="rId26" w:type="default"/>
          <w:docGrid w:type="default" w:charSpace="0"/>
          <w:pgSz w:w="11907" w:h="16839"/>
          <w:pgMar w:top="1431" w:right="1694" w:bottom="1153" w:left="1785" w:header="0" w:footer="965" w:gutter="0"/>
          <w:cols w:space="720" w:num="1"/>
        </w:sectPr>
      </w:pPr>
    </w:p>
    <w:p w14:paraId="10F42813">
      <w:pPr>
        <w:pStyle w:val="2"/>
        <w:spacing w:line="339" w:lineRule="auto"/>
      </w:pPr>
    </w:p>
    <w:p w14:paraId="7F778F63">
      <w:pPr>
        <w:pStyle w:val="2"/>
        <w:spacing w:line="339" w:lineRule="auto"/>
      </w:pPr>
    </w:p>
    <w:p w14:paraId="527353B6">
      <w:pPr>
        <w:spacing w:before="100" w:line="224" w:lineRule="auto"/>
        <w:ind w:left="671"/>
        <w:rPr>
          <w:sz w:val="31"/>
          <w:szCs w:val="31"/>
          <w:rFonts w:ascii="黑体" w:hAnsi="黑体" w:eastAsia="黑体" w:cs="黑体"/>
        </w:rPr>
      </w:pPr>
      <w:r>
        <w:rPr>
          <w:spacing w:val="6"/>
          <w:sz w:val="31"/>
          <w:szCs w:val="31"/>
          <w:rFonts w:ascii="黑体" w:hAnsi="黑体" w:eastAsia="黑体" w:cs="黑体"/>
        </w:rPr>
        <w:t>十一、其他重要事项情况说明</w:t>
      </w:r>
    </w:p>
    <w:p w14:paraId="1F7D2684">
      <w:pPr>
        <w:spacing w:before="248" w:line="222" w:lineRule="auto"/>
        <w:ind w:left="659"/>
        <w:rPr>
          <w:sz w:val="31"/>
          <w:szCs w:val="31"/>
          <w:rFonts w:ascii="仿宋" w:hAnsi="仿宋" w:eastAsia="仿宋" w:cs="仿宋"/>
        </w:rPr>
      </w:pPr>
      <w:r>
        <w:rPr>
          <w:spacing w:val="4"/>
          <w:sz w:val="31"/>
          <w:szCs w:val="31"/>
          <w:rFonts w:ascii="仿宋" w:hAnsi="仿宋" w:eastAsia="仿宋" w:cs="仿宋"/>
        </w:rPr>
        <w:t>（</w:t>
      </w:r>
      <w:r>
        <w:rPr>
          <w:spacing w:val="-7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一）机关运行经费执行情况说明</w:t>
      </w:r>
    </w:p>
    <w:p w14:paraId="6A789B5A">
      <w:pPr>
        <w:spacing w:before="251" w:line="357" w:lineRule="auto"/>
        <w:ind w:firstLine="652" w:left="19" w:right="170"/>
        <w:rPr>
          <w:spacing w:val="-4"/>
          <w:sz w:val="31"/>
          <w:lang w:val="en-US" w:eastAsia="zh-CN"/>
          <w:szCs w:val="31"/>
          <w:rFonts w:ascii="仿宋" w:hAnsi="仿宋" w:eastAsia="仿宋" w:cs="仿宋" w:hint="default"/>
        </w:rPr>
      </w:pPr>
      <w:r>
        <w:rPr>
          <w:spacing w:val="7"/>
          <w:sz w:val="31"/>
          <w:szCs w:val="31"/>
          <w:rFonts w:ascii="宋体" w:hAnsi="宋体" w:eastAsia="宋体" w:cs="宋体"/>
        </w:rPr>
        <w:t>2023</w:t>
      </w:r>
      <w:r>
        <w:rPr>
          <w:spacing w:val="7"/>
          <w:sz w:val="31"/>
          <w:szCs w:val="31"/>
          <w:rFonts w:ascii="仿宋" w:hAnsi="仿宋" w:eastAsia="仿宋" w:cs="仿宋"/>
        </w:rPr>
        <w:t>年度机关运行经费支出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348.46</w:t>
      </w:r>
      <w:r>
        <w:rPr>
          <w:spacing w:val="7"/>
          <w:sz w:val="31"/>
          <w:szCs w:val="31"/>
          <w:rFonts w:ascii="仿宋" w:hAnsi="仿宋" w:eastAsia="仿宋" w:cs="仿宋"/>
        </w:rPr>
        <w:t>万元，较</w:t>
      </w:r>
      <w:r>
        <w:rPr>
          <w:spacing w:val="7"/>
          <w:sz w:val="31"/>
          <w:szCs w:val="31"/>
          <w:rFonts w:ascii="宋体" w:hAnsi="宋体" w:eastAsia="宋体" w:cs="宋体"/>
        </w:rPr>
        <w:t>2022</w:t>
      </w:r>
      <w:r>
        <w:rPr>
          <w:spacing w:val="7"/>
          <w:sz w:val="31"/>
          <w:szCs w:val="31"/>
          <w:rFonts w:ascii="仿宋" w:hAnsi="仿宋" w:eastAsia="仿宋" w:cs="仿宋"/>
        </w:rPr>
        <w:t>年度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70万</w:t>
      </w:r>
      <w:r>
        <w:rPr>
          <w:spacing w:val="7"/>
          <w:sz w:val="31"/>
          <w:szCs w:val="31"/>
          <w:rFonts w:ascii="仿宋" w:hAnsi="仿宋" w:eastAsia="仿宋" w:cs="仿宋"/>
        </w:rPr>
        <w:t>增加</w:t>
      </w:r>
      <w:r>
        <w:rPr>
          <w:spacing w:val="14"/>
          <w:sz w:val="31"/>
          <w:lang w:val="en-US" w:eastAsia="zh-CN"/>
          <w:szCs w:val="31"/>
          <w:rFonts w:ascii="仿宋" w:hAnsi="仿宋" w:eastAsia="仿宋" w:cs="仿宋" w:hint="eastAsia"/>
        </w:rPr>
        <w:t>67.65</w:t>
      </w:r>
      <w:r>
        <w:rPr>
          <w:spacing w:val="-4"/>
          <w:sz w:val="31"/>
          <w:szCs w:val="31"/>
          <w:rFonts w:ascii="仿宋" w:hAnsi="仿宋" w:eastAsia="仿宋" w:cs="仿宋"/>
        </w:rPr>
        <w:t>万元，增长</w:t>
      </w:r>
      <w:r>
        <w:rPr>
          <w:spacing w:val="-4"/>
          <w:sz w:val="31"/>
          <w:lang w:val="en-US" w:eastAsia="zh-CN"/>
          <w:szCs w:val="31"/>
          <w:rFonts w:ascii="仿宋" w:hAnsi="仿宋" w:eastAsia="仿宋" w:cs="仿宋" w:hint="eastAsia"/>
        </w:rPr>
        <w:t>24.09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4"/>
          <w:sz w:val="31"/>
          <w:szCs w:val="31"/>
          <w:rFonts w:ascii="宋体" w:hAnsi="宋体" w:eastAsia="宋体" w:cs="宋体"/>
        </w:rPr>
        <w:t>%</w:t>
      </w:r>
      <w:r>
        <w:rPr>
          <w:spacing w:val="-4"/>
          <w:sz w:val="31"/>
          <w:szCs w:val="31"/>
          <w:rFonts w:ascii="仿宋" w:hAnsi="仿宋" w:eastAsia="仿宋" w:cs="仿宋"/>
        </w:rPr>
        <w:t>，主要</w:t>
      </w:r>
      <w:r>
        <w:rPr>
          <w:spacing w:val="-4"/>
          <w:sz w:val="31"/>
          <w:lang w:eastAsia="zh-CN"/>
          <w:szCs w:val="31"/>
          <w:rFonts w:ascii="仿宋" w:hAnsi="仿宋" w:eastAsia="仿宋" w:cs="仿宋" w:hint="eastAsia"/>
        </w:rPr>
        <w:t>是街道管理事务经费</w:t>
      </w:r>
      <w:r>
        <w:rPr>
          <w:spacing w:val="-4"/>
          <w:sz w:val="31"/>
          <w:lang w:val="en-US" w:eastAsia="zh-CN"/>
          <w:szCs w:val="31"/>
          <w:rFonts w:ascii="仿宋" w:hAnsi="仿宋" w:eastAsia="仿宋" w:cs="仿宋" w:hint="eastAsia"/>
        </w:rPr>
        <w:t>.</w:t>
      </w:r>
    </w:p>
    <w:p w14:paraId="7158C248">
      <w:pPr>
        <w:spacing w:before="48" w:line="224" w:lineRule="auto"/>
        <w:ind w:left="659"/>
        <w:rPr>
          <w:sz w:val="31"/>
          <w:szCs w:val="31"/>
          <w:rFonts w:ascii="仿宋" w:hAnsi="仿宋" w:eastAsia="仿宋" w:cs="仿宋"/>
        </w:rPr>
      </w:pPr>
      <w:r>
        <w:rPr>
          <w:spacing w:val="9"/>
          <w:sz w:val="31"/>
          <w:szCs w:val="31"/>
          <w:rFonts w:ascii="仿宋" w:hAnsi="仿宋" w:eastAsia="仿宋" w:cs="仿宋"/>
        </w:rPr>
        <w:t>（二）政府采购支出情况说明</w:t>
      </w:r>
    </w:p>
    <w:p w14:paraId="7CA764D4">
      <w:pPr>
        <w:spacing w:before="249" w:line="368" w:lineRule="auto"/>
        <w:ind w:firstLine="641" w:left="29" w:right="24"/>
        <w:rPr>
          <w:sz w:val="31"/>
          <w:szCs w:val="31"/>
          <w:rFonts w:ascii="仿宋" w:hAnsi="仿宋" w:eastAsia="仿宋" w:cs="仿宋"/>
        </w:rPr>
      </w:pPr>
      <w:r>
        <w:rPr>
          <w:spacing w:val="8"/>
          <w:sz w:val="31"/>
          <w:szCs w:val="31"/>
          <w:rFonts w:ascii="宋体" w:hAnsi="宋体" w:eastAsia="宋体" w:cs="宋体"/>
        </w:rPr>
        <w:t xml:space="preserve">2023 </w:t>
      </w:r>
      <w:r>
        <w:rPr>
          <w:spacing w:val="8"/>
          <w:sz w:val="31"/>
          <w:szCs w:val="31"/>
          <w:rFonts w:ascii="仿宋" w:hAnsi="仿宋" w:eastAsia="仿宋" w:cs="仿宋"/>
        </w:rPr>
        <w:t>年度政府采购支出总额67.31</w:t>
      </w:r>
      <w:r>
        <w:rPr>
          <w:spacing w:val="8"/>
          <w:sz w:val="31"/>
          <w:szCs w:val="31"/>
          <w:rFonts w:ascii="仿宋" w:hAnsi="仿宋" w:eastAsia="仿宋" w:cs="仿宋"/>
        </w:rPr>
        <w:t>万元，</w:t>
      </w:r>
      <w:r>
        <w:rPr>
          <w:spacing w:val="7"/>
          <w:sz w:val="31"/>
          <w:szCs w:val="31"/>
          <w:rFonts w:ascii="仿宋" w:hAnsi="仿宋" w:eastAsia="仿宋" w:cs="仿宋"/>
        </w:rPr>
        <w:t>其中：政府采购货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物支出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67.31</w:t>
      </w:r>
      <w:r>
        <w:rPr>
          <w:spacing w:val="7"/>
          <w:sz w:val="31"/>
          <w:szCs w:val="31"/>
          <w:rFonts w:ascii="仿宋" w:hAnsi="仿宋" w:eastAsia="仿宋" w:cs="仿宋"/>
        </w:rPr>
        <w:t>万元、政府采购工程支出</w:t>
      </w:r>
      <w:r>
        <w:rPr>
          <w:spacing w:val="23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7"/>
          <w:sz w:val="31"/>
          <w:szCs w:val="31"/>
          <w:rFonts w:ascii="仿宋" w:hAnsi="仿宋" w:eastAsia="仿宋" w:cs="仿宋"/>
        </w:rPr>
        <w:t>万元、政府采购服务支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出0</w:t>
      </w:r>
      <w:r>
        <w:rPr>
          <w:spacing w:val="4"/>
          <w:sz w:val="31"/>
          <w:szCs w:val="31"/>
          <w:rFonts w:ascii="仿宋" w:hAnsi="仿宋" w:eastAsia="仿宋" w:cs="仿宋"/>
        </w:rPr>
        <w:t>万元。授予中小企业合同金额67.31</w:t>
      </w:r>
      <w:r>
        <w:rPr>
          <w:spacing w:val="4"/>
          <w:sz w:val="31"/>
          <w:szCs w:val="31"/>
          <w:rFonts w:ascii="仿宋" w:hAnsi="仿宋" w:eastAsia="仿宋" w:cs="仿宋"/>
        </w:rPr>
        <w:t>万元，</w:t>
      </w:r>
      <w:r>
        <w:rPr>
          <w:spacing w:val="-8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占政府采购支出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总额的</w:t>
      </w:r>
      <w:r>
        <w:rPr>
          <w:spacing w:val="5"/>
          <w:sz w:val="31"/>
          <w:lang w:val="en-US" w:eastAsia="zh-CN"/>
          <w:szCs w:val="31"/>
          <w:rFonts w:ascii="仿宋" w:hAnsi="仿宋" w:eastAsia="仿宋" w:cs="仿宋" w:hint="eastAsia"/>
        </w:rPr>
        <w:t>100</w:t>
      </w:r>
      <w:r>
        <w:rPr>
          <w:spacing w:val="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宋体" w:hAnsi="宋体" w:eastAsia="宋体" w:cs="宋体"/>
        </w:rPr>
        <w:t>%</w:t>
      </w:r>
      <w:r>
        <w:rPr>
          <w:spacing w:val="5"/>
          <w:sz w:val="31"/>
          <w:szCs w:val="31"/>
          <w:rFonts w:ascii="仿宋" w:hAnsi="仿宋" w:eastAsia="仿宋" w:cs="仿宋"/>
        </w:rPr>
        <w:t>，其中：授予小微企业合同金额</w:t>
      </w:r>
      <w:r>
        <w:rPr>
          <w:spacing w:val="5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5"/>
          <w:sz w:val="31"/>
          <w:szCs w:val="31"/>
          <w:rFonts w:ascii="仿宋" w:hAnsi="仿宋" w:eastAsia="仿宋" w:cs="仿宋"/>
        </w:rPr>
        <w:t>万元，</w:t>
      </w:r>
      <w:r>
        <w:rPr>
          <w:spacing w:val="-6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占授予中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小企业合同金额的</w:t>
      </w:r>
      <w:r>
        <w:rPr>
          <w:spacing w:val="8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宋体" w:hAnsi="宋体" w:eastAsia="宋体" w:cs="宋体"/>
        </w:rPr>
        <w:t>%</w:t>
      </w:r>
      <w:r>
        <w:rPr>
          <w:spacing w:val="8"/>
          <w:sz w:val="31"/>
          <w:szCs w:val="31"/>
          <w:rFonts w:ascii="仿宋" w:hAnsi="仿宋" w:eastAsia="仿宋" w:cs="仿宋"/>
        </w:rPr>
        <w:t>；货物采购授予中小企业合同金额占货</w:t>
      </w:r>
      <w:r>
        <w:rPr>
          <w:spacing w:val="1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物支出金额的100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宋体" w:hAnsi="宋体" w:eastAsia="宋体" w:cs="宋体"/>
        </w:rPr>
        <w:t>%</w:t>
      </w:r>
      <w:r>
        <w:rPr>
          <w:spacing w:val="8"/>
          <w:sz w:val="31"/>
          <w:szCs w:val="31"/>
          <w:rFonts w:ascii="仿宋" w:hAnsi="仿宋" w:eastAsia="仿宋" w:cs="仿宋"/>
        </w:rPr>
        <w:t>，工程采购授予中小企业合同金额占工程支</w:t>
      </w:r>
      <w:r>
        <w:rPr>
          <w:spacing w:val="1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出金额的</w:t>
      </w:r>
      <w:r>
        <w:rPr>
          <w:spacing w:val="8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宋体" w:hAnsi="宋体" w:eastAsia="宋体" w:cs="宋体"/>
        </w:rPr>
        <w:t>%</w:t>
      </w:r>
      <w:r>
        <w:rPr>
          <w:spacing w:val="8"/>
          <w:sz w:val="31"/>
          <w:szCs w:val="31"/>
          <w:rFonts w:ascii="仿宋" w:hAnsi="仿宋" w:eastAsia="仿宋" w:cs="仿宋"/>
        </w:rPr>
        <w:t>，服务采购授予中小企业合同金额占服务支出金</w:t>
      </w:r>
      <w:r>
        <w:rPr>
          <w:spacing w:val="1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"/>
          <w:sz w:val="31"/>
          <w:szCs w:val="31"/>
          <w:rFonts w:ascii="仿宋" w:hAnsi="仿宋" w:eastAsia="仿宋" w:cs="仿宋"/>
        </w:rPr>
        <w:t>额的</w:t>
      </w:r>
      <w:r>
        <w:rPr>
          <w:spacing w:val="2"/>
          <w:sz w:val="31"/>
          <w:lang w:val="en-US" w:eastAsia="zh-CN"/>
          <w:szCs w:val="31"/>
          <w:rFonts w:ascii="仿宋" w:hAnsi="仿宋" w:eastAsia="仿宋" w:cs="仿宋" w:hint="eastAsia"/>
        </w:rPr>
        <w:t>100</w:t>
      </w:r>
      <w:r>
        <w:rPr>
          <w:spacing w:val="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"/>
          <w:sz w:val="31"/>
          <w:szCs w:val="31"/>
          <w:rFonts w:ascii="宋体" w:hAnsi="宋体" w:eastAsia="宋体" w:cs="宋体"/>
        </w:rPr>
        <w:t>%</w:t>
      </w:r>
      <w:r>
        <w:rPr>
          <w:spacing w:val="2"/>
          <w:sz w:val="31"/>
          <w:szCs w:val="31"/>
          <w:rFonts w:ascii="仿宋" w:hAnsi="仿宋" w:eastAsia="仿宋" w:cs="仿宋"/>
        </w:rPr>
        <w:t>。。</w:t>
      </w:r>
    </w:p>
    <w:p w14:paraId="2B527045">
      <w:pPr>
        <w:spacing w:before="48" w:line="224" w:lineRule="auto"/>
        <w:ind w:left="659"/>
        <w:rPr>
          <w:sz w:val="31"/>
          <w:szCs w:val="31"/>
          <w:rFonts w:ascii="仿宋" w:hAnsi="仿宋" w:eastAsia="仿宋" w:cs="仿宋"/>
        </w:rPr>
      </w:pPr>
      <w:bookmarkStart w:id="0" w:name="_GoBack"/>
      <w:bookmarkEnd w:id="0"/>
      <w:r>
        <w:rPr>
          <w:spacing w:val="9"/>
          <w:sz w:val="31"/>
          <w:szCs w:val="31"/>
          <w:rFonts w:ascii="仿宋" w:hAnsi="仿宋" w:eastAsia="仿宋" w:cs="仿宋"/>
        </w:rPr>
        <w:t>（三）国有资产占用情况说明</w:t>
      </w:r>
    </w:p>
    <w:p w14:paraId="1DFC5B71">
      <w:pPr>
        <w:spacing w:before="286" w:line="340" w:lineRule="auto"/>
        <w:ind w:firstLine="650" w:left="21"/>
        <w:rPr>
          <w:sz w:val="31"/>
          <w:szCs w:val="31"/>
          <w:rFonts w:ascii="仿宋" w:hAnsi="仿宋" w:eastAsia="仿宋" w:cs="仿宋"/>
        </w:rPr>
      </w:pPr>
      <w:r>
        <w:rPr>
          <w:sz w:val="31"/>
          <w:szCs w:val="31"/>
          <w:rFonts w:ascii="仿宋" w:hAnsi="仿宋" w:eastAsia="仿宋" w:cs="仿宋"/>
        </w:rPr>
        <w:t>截至</w:t>
      </w:r>
      <w:r>
        <w:rPr>
          <w:spacing w:val="-33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szCs w:val="31"/>
          <w:rFonts w:ascii="宋体" w:hAnsi="宋体" w:eastAsia="宋体" w:cs="宋体"/>
        </w:rPr>
        <w:t>2023</w:t>
      </w:r>
      <w:r>
        <w:rPr>
          <w:spacing w:val="-33"/>
          <w:sz w:val="31"/>
          <w:szCs w:val="31"/>
          <w:rFonts w:ascii="宋体" w:hAnsi="宋体" w:eastAsia="宋体" w:cs="宋体"/>
        </w:rPr>
        <w:t xml:space="preserve"> </w:t>
      </w:r>
      <w:r>
        <w:rPr>
          <w:sz w:val="31"/>
          <w:szCs w:val="31"/>
          <w:rFonts w:ascii="仿宋" w:hAnsi="仿宋" w:eastAsia="仿宋" w:cs="仿宋"/>
        </w:rPr>
        <w:t xml:space="preserve">年 </w:t>
      </w:r>
      <w:r>
        <w:rPr>
          <w:sz w:val="31"/>
          <w:szCs w:val="31"/>
          <w:rFonts w:ascii="宋体" w:hAnsi="宋体" w:eastAsia="宋体" w:cs="宋体"/>
        </w:rPr>
        <w:t xml:space="preserve">12 </w:t>
      </w:r>
      <w:r>
        <w:rPr>
          <w:sz w:val="31"/>
          <w:szCs w:val="31"/>
          <w:rFonts w:ascii="仿宋" w:hAnsi="仿宋" w:eastAsia="仿宋" w:cs="仿宋"/>
        </w:rPr>
        <w:t>月</w:t>
      </w:r>
      <w:r>
        <w:rPr>
          <w:spacing w:val="-31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szCs w:val="31"/>
          <w:rFonts w:ascii="宋体" w:hAnsi="宋体" w:eastAsia="宋体" w:cs="宋体"/>
        </w:rPr>
        <w:t xml:space="preserve">31 </w:t>
      </w:r>
      <w:r>
        <w:rPr>
          <w:sz w:val="31"/>
          <w:szCs w:val="31"/>
          <w:rFonts w:ascii="仿宋" w:hAnsi="仿宋" w:eastAsia="仿宋" w:cs="仿宋"/>
        </w:rPr>
        <w:t>日，</w:t>
      </w:r>
      <w:r>
        <w:rPr>
          <w:sz w:val="31"/>
          <w:lang w:eastAsia="zh-CN"/>
          <w:szCs w:val="31"/>
          <w:rFonts w:ascii="宋体" w:hAnsi="宋体" w:eastAsia="宋体" w:cs="宋体" w:hint="eastAsia"/>
        </w:rPr>
        <w:t>长春市南关区明珠街道办事处</w:t>
      </w:r>
      <w:r>
        <w:rPr>
          <w:spacing w:val="-1"/>
          <w:sz w:val="31"/>
          <w:szCs w:val="31"/>
          <w:rFonts w:ascii="仿宋" w:hAnsi="仿宋" w:eastAsia="仿宋" w:cs="仿宋"/>
        </w:rPr>
        <w:t>共有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车辆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3</w:t>
      </w:r>
      <w:r>
        <w:rPr>
          <w:spacing w:val="7"/>
          <w:sz w:val="31"/>
          <w:szCs w:val="31"/>
          <w:rFonts w:ascii="仿宋" w:hAnsi="仿宋" w:eastAsia="仿宋" w:cs="仿宋"/>
        </w:rPr>
        <w:t>辆，其中，副部（省）级及以上领导用车</w:t>
      </w:r>
      <w:r>
        <w:rPr>
          <w:spacing w:val="7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7"/>
          <w:sz w:val="31"/>
          <w:szCs w:val="31"/>
          <w:rFonts w:ascii="仿宋" w:hAnsi="仿宋" w:eastAsia="仿宋" w:cs="仿宋"/>
        </w:rPr>
        <w:t>辆、主</w:t>
      </w:r>
      <w:r>
        <w:rPr>
          <w:spacing w:val="17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要负责人用车</w:t>
      </w:r>
      <w:r>
        <w:rPr>
          <w:spacing w:val="-56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>辆、机要通信用车</w:t>
      </w:r>
      <w:r>
        <w:rPr>
          <w:sz w:val="31"/>
          <w:lang w:val="en-US" w:eastAsia="zh-CN"/>
          <w:szCs w:val="31"/>
          <w:rFonts w:ascii="宋体" w:hAnsi="宋体" w:eastAsia="宋体" w:cs="宋体" w:hint="eastAsia"/>
        </w:rPr>
        <w:t>0</w:t>
      </w:r>
      <w:r>
        <w:rPr>
          <w:spacing w:val="-62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辆、应急保障用车</w:t>
      </w:r>
      <w:r>
        <w:rPr>
          <w:spacing w:val="-6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64"/>
          <w:sz w:val="31"/>
          <w:lang w:val="en-US" w:eastAsia="zh-CN"/>
          <w:szCs w:val="31"/>
          <w:rFonts w:ascii="仿宋" w:hAnsi="仿宋" w:eastAsia="仿宋" w:cs="仿宋" w:hint="eastAsia"/>
        </w:rPr>
        <w:t>1</w:t>
      </w:r>
      <w:r>
        <w:rPr>
          <w:spacing w:val="12"/>
          <w:sz w:val="31"/>
          <w:szCs w:val="31"/>
          <w:rFonts w:ascii="仿宋" w:hAnsi="仿宋" w:eastAsia="仿宋" w:cs="仿宋"/>
        </w:rPr>
        <w:t>辆、执法执勤用车</w:t>
      </w:r>
      <w:r>
        <w:rPr>
          <w:spacing w:val="12"/>
          <w:sz w:val="31"/>
          <w:lang w:val="en-US" w:eastAsia="zh-CN"/>
          <w:szCs w:val="31"/>
          <w:rFonts w:ascii="仿宋" w:hAnsi="仿宋" w:eastAsia="仿宋" w:cs="仿宋" w:hint="eastAsia"/>
        </w:rPr>
        <w:t>0</w:t>
      </w:r>
      <w:r>
        <w:rPr>
          <w:spacing w:val="12"/>
          <w:sz w:val="31"/>
          <w:szCs w:val="31"/>
          <w:rFonts w:ascii="仿宋" w:hAnsi="仿宋" w:eastAsia="仿宋" w:cs="仿宋"/>
        </w:rPr>
        <w:t>辆、特种专业技术用车</w:t>
      </w:r>
      <w:r>
        <w:rPr>
          <w:sz w:val="31"/>
          <w:lang w:val="en-US" w:eastAsia="zh-CN"/>
          <w:szCs w:val="31"/>
          <w:rFonts w:ascii="宋体" w:hAnsi="宋体" w:eastAsia="宋体" w:cs="宋体" w:hint="eastAsia"/>
        </w:rPr>
        <w:t>0</w:t>
      </w:r>
      <w:r>
        <w:rPr>
          <w:spacing w:val="12"/>
          <w:sz w:val="31"/>
          <w:szCs w:val="31"/>
          <w:rFonts w:ascii="仿宋" w:hAnsi="仿宋" w:eastAsia="仿宋" w:cs="仿宋"/>
        </w:rPr>
        <w:t>辆</w:t>
      </w:r>
      <w:r>
        <w:rPr>
          <w:spacing w:val="11"/>
          <w:sz w:val="31"/>
          <w:szCs w:val="31"/>
          <w:rFonts w:ascii="仿宋" w:hAnsi="仿宋" w:eastAsia="仿宋" w:cs="仿宋"/>
        </w:rPr>
        <w:t>、离退休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干部用车</w:t>
      </w:r>
      <w:r>
        <w:rPr>
          <w:spacing w:val="-67"/>
          <w:sz w:val="31"/>
          <w:szCs w:val="31"/>
          <w:rFonts w:ascii="仿宋" w:hAnsi="仿宋" w:eastAsia="仿宋" w:cs="仿宋"/>
        </w:rPr>
        <w:t xml:space="preserve"> </w:t>
      </w:r>
      <w:r>
        <w:rPr>
          <w:sz w:val="31"/>
          <w:lang w:val="en-US" w:eastAsia="zh-CN"/>
          <w:szCs w:val="31"/>
          <w:rFonts w:ascii="宋体" w:hAnsi="宋体" w:eastAsia="宋体" w:cs="宋体" w:hint="eastAsia"/>
        </w:rPr>
        <w:t>0</w:t>
      </w:r>
      <w:r>
        <w:rPr>
          <w:spacing w:val="8"/>
          <w:sz w:val="31"/>
          <w:szCs w:val="31"/>
          <w:rFonts w:ascii="仿宋" w:hAnsi="仿宋" w:eastAsia="仿宋" w:cs="仿宋"/>
        </w:rPr>
        <w:t>辆、其他用车</w:t>
      </w:r>
      <w:r>
        <w:rPr>
          <w:spacing w:val="-67"/>
          <w:sz w:val="31"/>
          <w:lang w:val="en-US" w:eastAsia="zh-CN"/>
          <w:szCs w:val="31"/>
          <w:rFonts w:ascii="仿宋" w:hAnsi="仿宋" w:eastAsia="仿宋" w:cs="仿宋" w:hint="eastAsia"/>
        </w:rPr>
        <w:t xml:space="preserve">2 </w:t>
      </w:r>
      <w:r>
        <w:rPr>
          <w:spacing w:val="8"/>
          <w:sz w:val="31"/>
          <w:szCs w:val="31"/>
          <w:rFonts w:ascii="仿宋" w:hAnsi="仿宋" w:eastAsia="仿宋" w:cs="仿宋"/>
        </w:rPr>
        <w:t>辆；单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"/>
          <w:sz w:val="31"/>
          <w:szCs w:val="31"/>
          <w:rFonts w:ascii="仿宋" w:hAnsi="仿宋" w:eastAsia="仿宋" w:cs="仿宋"/>
        </w:rPr>
        <w:t>位价值</w:t>
      </w:r>
      <w:r>
        <w:rPr>
          <w:spacing w:val="-2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"/>
          <w:sz w:val="31"/>
          <w:szCs w:val="31"/>
          <w:rFonts w:ascii="宋体" w:hAnsi="宋体" w:eastAsia="宋体" w:cs="宋体"/>
        </w:rPr>
        <w:t>100</w:t>
      </w:r>
      <w:r>
        <w:rPr>
          <w:spacing w:val="-47"/>
          <w:sz w:val="31"/>
          <w:szCs w:val="31"/>
          <w:rFonts w:ascii="宋体" w:hAnsi="宋体" w:eastAsia="宋体" w:cs="宋体"/>
        </w:rPr>
        <w:t xml:space="preserve"> </w:t>
      </w:r>
      <w:r>
        <w:rPr>
          <w:spacing w:val="2"/>
          <w:sz w:val="31"/>
          <w:szCs w:val="31"/>
          <w:rFonts w:ascii="仿宋" w:hAnsi="仿宋" w:eastAsia="仿宋" w:cs="仿宋"/>
        </w:rPr>
        <w:t>万元（含）以上设备（不含车辆）</w:t>
      </w:r>
      <w:r>
        <w:rPr>
          <w:sz w:val="31"/>
          <w:lang w:val="en-US" w:eastAsia="zh-CN"/>
          <w:szCs w:val="31"/>
          <w:rFonts w:ascii="宋体" w:hAnsi="宋体" w:eastAsia="宋体" w:cs="宋体" w:hint="eastAsia"/>
        </w:rPr>
        <w:t>0</w:t>
      </w:r>
      <w:r>
        <w:rPr>
          <w:spacing w:val="2"/>
          <w:sz w:val="31"/>
          <w:szCs w:val="31"/>
          <w:rFonts w:ascii="仿宋" w:hAnsi="仿宋" w:eastAsia="仿宋" w:cs="仿宋"/>
        </w:rPr>
        <w:t>台（套）。</w:t>
      </w:r>
    </w:p>
    <w:p w14:paraId="5C1586C5">
      <w:pPr>
        <w:spacing w:line="340" w:lineRule="auto"/>
        <w:rPr>
          <w:sz w:val="31"/>
          <w:szCs w:val="31"/>
          <w:rFonts w:ascii="仿宋" w:hAnsi="仿宋" w:eastAsia="仿宋" w:cs="仿宋"/>
        </w:rPr>
        <w:sectPr>
          <w:footerReference r:id="rId27" w:type="default"/>
          <w:docGrid w:type="default" w:charSpace="0"/>
          <w:pgSz w:w="11907" w:h="16839"/>
          <w:pgMar w:top="1431" w:right="1774" w:bottom="1153" w:left="1785" w:header="0" w:footer="965" w:gutter="0"/>
          <w:cols w:space="720" w:num="1"/>
        </w:sectPr>
      </w:pPr>
    </w:p>
    <w:p w14:paraId="506C102B">
      <w:pPr>
        <w:outlineLvl w:val="0"/>
        <w:spacing w:before="225" w:line="443" w:lineRule="exact"/>
        <w:ind w:left="2186"/>
        <w:rPr>
          <w:sz w:val="44"/>
          <w:szCs w:val="44"/>
          <w:rFonts w:ascii="微软雅黑" w:hAnsi="微软雅黑" w:eastAsia="微软雅黑" w:cs="微软雅黑"/>
        </w:rPr>
      </w:pPr>
      <w:r>
        <w:rPr>
          <w:spacing w:val="-4"/>
          <w:position w:val="-2"/>
          <w:sz w:val="44"/>
          <w:szCs w:val="44"/>
          <w:rFonts w:ascii="微软雅黑" w:hAnsi="微软雅黑" w:eastAsia="微软雅黑" w:cs="微软雅黑"/>
        </w:rPr>
        <w:t>第四部分</w:t>
      </w:r>
      <w:r>
        <w:rPr>
          <w:spacing w:val="24"/>
          <w:position w:val="-2"/>
          <w:sz w:val="44"/>
          <w:szCs w:val="44"/>
          <w:rFonts w:ascii="微软雅黑" w:hAnsi="微软雅黑" w:eastAsia="微软雅黑" w:cs="微软雅黑"/>
        </w:rPr>
        <w:t xml:space="preserve">   </w:t>
      </w:r>
      <w:r>
        <w:rPr>
          <w:spacing w:val="-4"/>
          <w:position w:val="-2"/>
          <w:sz w:val="44"/>
          <w:szCs w:val="44"/>
          <w:rFonts w:ascii="微软雅黑" w:hAnsi="微软雅黑" w:eastAsia="微软雅黑" w:cs="微软雅黑"/>
        </w:rPr>
        <w:t>名词解释</w:t>
      </w:r>
    </w:p>
    <w:p w14:paraId="6EC89EF4">
      <w:pPr>
        <w:pStyle w:val="2"/>
        <w:spacing w:line="315" w:lineRule="auto"/>
      </w:pPr>
    </w:p>
    <w:p w14:paraId="3716CE7F">
      <w:pPr>
        <w:pStyle w:val="2"/>
        <w:spacing w:line="315" w:lineRule="auto"/>
      </w:pPr>
    </w:p>
    <w:p w14:paraId="2C773BB2">
      <w:pPr>
        <w:pStyle w:val="2"/>
        <w:spacing w:line="315" w:lineRule="auto"/>
      </w:pPr>
    </w:p>
    <w:p w14:paraId="20088177">
      <w:pPr>
        <w:spacing w:before="100" w:line="297" w:lineRule="auto"/>
        <w:ind w:firstLine="650" w:left="39" w:right="1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一、财政拨款收入：</w:t>
      </w:r>
      <w:r>
        <w:rPr>
          <w:spacing w:val="6"/>
          <w:sz w:val="31"/>
          <w:szCs w:val="31"/>
          <w:rFonts w:ascii="仿宋" w:hAnsi="仿宋" w:eastAsia="仿宋" w:cs="仿宋"/>
        </w:rPr>
        <w:t>指单位从同级财政部门取得的财政</w:t>
      </w:r>
      <w:r>
        <w:rPr>
          <w:spacing w:val="1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"/>
          <w:sz w:val="31"/>
          <w:szCs w:val="31"/>
          <w:rFonts w:ascii="仿宋" w:hAnsi="仿宋" w:eastAsia="仿宋" w:cs="仿宋"/>
        </w:rPr>
        <w:t>预算资金。</w:t>
      </w:r>
    </w:p>
    <w:p w14:paraId="5E8D87EF">
      <w:pPr>
        <w:spacing w:before="250" w:line="297" w:lineRule="auto"/>
        <w:ind w:firstLine="656" w:left="30" w:right="1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二、上级补助收入：</w:t>
      </w:r>
      <w:r>
        <w:rPr>
          <w:spacing w:val="6"/>
          <w:sz w:val="31"/>
          <w:szCs w:val="31"/>
          <w:rFonts w:ascii="仿宋" w:hAnsi="仿宋" w:eastAsia="仿宋" w:cs="仿宋"/>
        </w:rPr>
        <w:t>指从主管部门和上级单位取得的非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"/>
          <w:sz w:val="31"/>
          <w:szCs w:val="31"/>
          <w:rFonts w:ascii="仿宋" w:hAnsi="仿宋" w:eastAsia="仿宋" w:cs="仿宋"/>
        </w:rPr>
        <w:t>财政补助收入。</w:t>
      </w:r>
    </w:p>
    <w:p w14:paraId="63AC921C">
      <w:pPr>
        <w:outlineLvl w:val="3"/>
        <w:spacing w:before="249" w:line="298" w:lineRule="auto"/>
        <w:ind w:firstLine="649" w:left="44" w:right="18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4"/>
          <w:sz w:val="31"/>
          <w:bCs/>
          <w:szCs w:val="31"/>
          <w:rFonts w:ascii="仿宋" w:hAnsi="仿宋" w:eastAsia="仿宋" w:cs="仿宋"/>
        </w:rPr>
        <w:t>三、事业收入：指事业单位开展专业业务活动及辅助活</w:t>
      </w:r>
      <w:r>
        <w:rPr>
          <w:spacing w:val="6"/>
          <w:sz w:val="31"/>
          <w:szCs w:val="31"/>
          <w:rFonts w:ascii="仿宋" w:hAnsi="仿宋" w:eastAsia="仿宋" w:cs="仿宋"/>
        </w:rPr>
        <w:t xml:space="preserve"> </w:t>
      </w:r>
      <w:r>
        <w:rPr>
          <w:b w:val="1"/>
          <w:spacing w:val="-6"/>
          <w:sz w:val="31"/>
          <w:bCs/>
          <w:szCs w:val="31"/>
          <w:rFonts w:ascii="仿宋" w:hAnsi="仿宋" w:eastAsia="仿宋" w:cs="仿宋"/>
        </w:rPr>
        <w:t>动取得的收入。</w:t>
      </w:r>
    </w:p>
    <w:p w14:paraId="4EFFAFA4">
      <w:pPr>
        <w:spacing w:before="249" w:line="297" w:lineRule="auto"/>
        <w:ind w:firstLine="662" w:left="44" w:right="16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四、经营收入：</w:t>
      </w:r>
      <w:r>
        <w:rPr>
          <w:spacing w:val="6"/>
          <w:sz w:val="31"/>
          <w:szCs w:val="31"/>
          <w:rFonts w:ascii="仿宋" w:hAnsi="仿宋" w:eastAsia="仿宋" w:cs="仿宋"/>
        </w:rPr>
        <w:t>指事业单位在专业业务活动及其辅助活</w:t>
      </w:r>
      <w:r>
        <w:rPr>
          <w:spacing w:val="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动之外开展非独立核算经营活动取得的收入。</w:t>
      </w:r>
    </w:p>
    <w:p w14:paraId="0E91FB4F">
      <w:pPr>
        <w:spacing w:before="249" w:line="298" w:lineRule="auto"/>
        <w:ind w:firstLine="653" w:left="28" w:right="1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五、附属单位上缴收入：</w:t>
      </w:r>
      <w:r>
        <w:rPr>
          <w:spacing w:val="6"/>
          <w:sz w:val="31"/>
          <w:szCs w:val="31"/>
          <w:rFonts w:ascii="仿宋" w:hAnsi="仿宋" w:eastAsia="仿宋" w:cs="仿宋"/>
        </w:rPr>
        <w:t>指事业单位附属独立核算单位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按照有关规定上缴的收入。</w:t>
      </w:r>
    </w:p>
    <w:p w14:paraId="7E94ABE0">
      <w:pPr>
        <w:spacing w:before="246" w:line="347" w:lineRule="auto"/>
        <w:ind w:firstLine="654" w:left="29" w:right="14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六、其他收入：</w:t>
      </w:r>
      <w:r>
        <w:rPr>
          <w:spacing w:val="7"/>
          <w:sz w:val="31"/>
          <w:szCs w:val="31"/>
          <w:rFonts w:ascii="仿宋" w:hAnsi="仿宋" w:eastAsia="仿宋" w:cs="仿宋"/>
        </w:rPr>
        <w:t>指除上述收入以外的各项收入。包括未</w:t>
      </w:r>
      <w:r>
        <w:rPr>
          <w:spacing w:val="4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纳入财政预算或财政专户管理的投资收益、银</w:t>
      </w:r>
      <w:r>
        <w:rPr>
          <w:spacing w:val="8"/>
          <w:sz w:val="31"/>
          <w:szCs w:val="31"/>
          <w:rFonts w:ascii="仿宋" w:hAnsi="仿宋" w:eastAsia="仿宋" w:cs="仿宋"/>
        </w:rPr>
        <w:t>行存款利息收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入、租金收入、捐赠收入，现金盘盈收入、存货</w:t>
      </w:r>
      <w:r>
        <w:rPr>
          <w:spacing w:val="8"/>
          <w:sz w:val="31"/>
          <w:szCs w:val="31"/>
          <w:rFonts w:ascii="仿宋" w:hAnsi="仿宋" w:eastAsia="仿宋" w:cs="仿宋"/>
        </w:rPr>
        <w:t>盘盈收入、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收回已核销应收及预付款项、无法偿付的应付及</w:t>
      </w:r>
      <w:r>
        <w:rPr>
          <w:spacing w:val="8"/>
          <w:sz w:val="31"/>
          <w:szCs w:val="31"/>
          <w:rFonts w:ascii="仿宋" w:hAnsi="仿宋" w:eastAsia="仿宋" w:cs="仿宋"/>
        </w:rPr>
        <w:t>预收款项，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从省财政以外的同级单位取得的经费、从非省</w:t>
      </w:r>
      <w:r>
        <w:rPr>
          <w:spacing w:val="8"/>
          <w:sz w:val="31"/>
          <w:szCs w:val="31"/>
          <w:rFonts w:ascii="仿宋" w:hAnsi="仿宋" w:eastAsia="仿宋" w:cs="仿宋"/>
        </w:rPr>
        <w:t>财政取得的经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费，以及行政单位收到的财政专户管理资金等。</w:t>
      </w:r>
    </w:p>
    <w:p w14:paraId="1AA5B0F9">
      <w:pPr>
        <w:spacing w:before="252" w:line="322" w:lineRule="auto"/>
        <w:ind w:firstLine="649" w:left="28" w:right="10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5"/>
          <w:sz w:val="31"/>
          <w:bCs/>
          <w:szCs w:val="31"/>
          <w:rFonts w:ascii="仿宋" w:hAnsi="仿宋" w:eastAsia="仿宋" w:cs="仿宋"/>
        </w:rPr>
        <w:t>七、使用非财政拨款结余（含专用结余</w:t>
      </w:r>
      <w:r>
        <w:rPr>
          <w:b w:val="1"/>
          <w:spacing w:val="16"/>
          <w:sz w:val="31"/>
          <w:bCs/>
          <w:szCs w:val="31"/>
          <w:rFonts w:ascii="仿宋" w:hAnsi="仿宋" w:eastAsia="仿宋" w:cs="仿宋"/>
        </w:rPr>
        <w:t>）：</w:t>
      </w:r>
      <w:r>
        <w:rPr>
          <w:spacing w:val="5"/>
          <w:sz w:val="31"/>
          <w:szCs w:val="31"/>
          <w:rFonts w:ascii="仿宋" w:hAnsi="仿宋" w:eastAsia="仿宋" w:cs="仿宋"/>
        </w:rPr>
        <w:t>指事业单位</w:t>
      </w:r>
      <w:r>
        <w:rPr>
          <w:spacing w:val="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1"/>
          <w:sz w:val="31"/>
          <w:szCs w:val="31"/>
          <w:rFonts w:ascii="仿宋" w:hAnsi="仿宋" w:eastAsia="仿宋" w:cs="仿宋"/>
        </w:rPr>
        <w:t>按照预算管理要求使用非财政拨款结余弥补收支差额的金</w:t>
      </w:r>
      <w:r>
        <w:rPr>
          <w:spacing w:val="1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额，以及使用专用结余安排支出的金额。</w:t>
      </w:r>
    </w:p>
    <w:p w14:paraId="690EF1C9">
      <w:pPr>
        <w:jc w:val="right"/>
        <w:spacing w:before="249" w:line="220" w:lineRule="auto"/>
        <w:ind w:right="1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八、年初结转和结余：</w:t>
      </w:r>
      <w:r>
        <w:rPr>
          <w:spacing w:val="7"/>
          <w:sz w:val="31"/>
          <w:szCs w:val="31"/>
          <w:rFonts w:ascii="仿宋" w:hAnsi="仿宋" w:eastAsia="仿宋" w:cs="仿宋"/>
        </w:rPr>
        <w:t>指单位以前年度尚未完成、结转</w:t>
      </w:r>
    </w:p>
    <w:p w14:paraId="14C92E6D">
      <w:pPr>
        <w:spacing w:line="220" w:lineRule="auto"/>
        <w:rPr>
          <w:sz w:val="31"/>
          <w:szCs w:val="31"/>
          <w:rFonts w:ascii="仿宋" w:hAnsi="仿宋" w:eastAsia="仿宋" w:cs="仿宋"/>
        </w:rPr>
        <w:sectPr>
          <w:footerReference r:id="rId28" w:type="default"/>
          <w:docGrid w:type="default" w:charSpace="0"/>
          <w:pgSz w:w="11907" w:h="16839"/>
          <w:pgMar w:top="1431" w:right="1785" w:bottom="1153" w:left="1785" w:header="0" w:footer="965" w:gutter="0"/>
          <w:cols w:space="720" w:num="1"/>
        </w:sectPr>
      </w:pPr>
    </w:p>
    <w:p w14:paraId="51A53993">
      <w:pPr>
        <w:spacing w:before="160" w:line="357" w:lineRule="auto"/>
        <w:ind w:hanging="6" w:left="46" w:right="189"/>
        <w:rPr>
          <w:sz w:val="31"/>
          <w:szCs w:val="31"/>
          <w:rFonts w:ascii="仿宋" w:hAnsi="仿宋" w:eastAsia="仿宋" w:cs="仿宋"/>
        </w:rPr>
      </w:pPr>
      <w:r>
        <w:rPr>
          <w:spacing w:val="7"/>
          <w:sz w:val="31"/>
          <w:szCs w:val="31"/>
          <w:rFonts w:ascii="仿宋" w:hAnsi="仿宋" w:eastAsia="仿宋" w:cs="仿宋"/>
        </w:rPr>
        <w:t>到本年按有关规定用途继续使用的资金，或项目已完成等产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3"/>
          <w:sz w:val="31"/>
          <w:szCs w:val="31"/>
          <w:rFonts w:ascii="仿宋" w:hAnsi="仿宋" w:eastAsia="仿宋" w:cs="仿宋"/>
        </w:rPr>
        <w:t>生的结余资金。</w:t>
      </w:r>
    </w:p>
    <w:p w14:paraId="7D1C912B">
      <w:pPr>
        <w:spacing w:before="48" w:line="355" w:lineRule="auto"/>
        <w:ind w:firstLine="641" w:left="32" w:right="155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九、结余分配：</w:t>
      </w:r>
      <w:r>
        <w:rPr>
          <w:spacing w:val="7"/>
          <w:sz w:val="31"/>
          <w:szCs w:val="31"/>
          <w:rFonts w:ascii="仿宋" w:hAnsi="仿宋" w:eastAsia="仿宋" w:cs="仿宋"/>
        </w:rPr>
        <w:t>指事业单位按照会计制度规定缴纳的所</w:t>
      </w:r>
      <w:r>
        <w:rPr>
          <w:spacing w:val="1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得税、提取的专用结余以及转入非财政拨款结余的金额等。</w:t>
      </w:r>
    </w:p>
    <w:p w14:paraId="0B9DB099">
      <w:pPr>
        <w:spacing w:before="54" w:line="364" w:lineRule="auto"/>
        <w:ind w:firstLine="654" w:left="29" w:right="15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十、年末结转和结余：</w:t>
      </w:r>
      <w:r>
        <w:rPr>
          <w:spacing w:val="7"/>
          <w:sz w:val="31"/>
          <w:szCs w:val="31"/>
          <w:rFonts w:ascii="仿宋" w:hAnsi="仿宋" w:eastAsia="仿宋" w:cs="仿宋"/>
        </w:rPr>
        <w:t>指单位按有关规定结</w:t>
      </w:r>
      <w:r>
        <w:rPr>
          <w:spacing w:val="6"/>
          <w:sz w:val="31"/>
          <w:szCs w:val="31"/>
          <w:rFonts w:ascii="仿宋" w:hAnsi="仿宋" w:eastAsia="仿宋" w:cs="仿宋"/>
        </w:rPr>
        <w:t>转到下年或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21"/>
          <w:sz w:val="31"/>
          <w:szCs w:val="31"/>
          <w:rFonts w:ascii="仿宋" w:hAnsi="仿宋" w:eastAsia="仿宋" w:cs="仿宋"/>
        </w:rPr>
        <w:t>以后年度继续使用的资金，或项目已完成等产生的结余资</w:t>
      </w:r>
      <w:r>
        <w:rPr>
          <w:spacing w:val="10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6"/>
          <w:sz w:val="31"/>
          <w:szCs w:val="31"/>
          <w:rFonts w:ascii="仿宋" w:hAnsi="仿宋" w:eastAsia="仿宋" w:cs="仿宋"/>
        </w:rPr>
        <w:t>金。</w:t>
      </w:r>
    </w:p>
    <w:p w14:paraId="350DD0E4">
      <w:pPr>
        <w:spacing w:before="39" w:line="297" w:lineRule="auto"/>
        <w:ind w:firstLine="653" w:left="30" w:right="15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十一、基本支出：</w:t>
      </w:r>
      <w:r>
        <w:rPr>
          <w:spacing w:val="7"/>
          <w:sz w:val="31"/>
          <w:szCs w:val="31"/>
          <w:rFonts w:ascii="仿宋" w:hAnsi="仿宋" w:eastAsia="仿宋" w:cs="仿宋"/>
        </w:rPr>
        <w:t>指为保障机构正常运转、完成日常工</w:t>
      </w:r>
      <w:r>
        <w:rPr>
          <w:spacing w:val="1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作任务而发生的人员支出和公用支出。</w:t>
      </w:r>
    </w:p>
    <w:p w14:paraId="44EBDE6F">
      <w:pPr>
        <w:spacing w:before="250" w:line="298" w:lineRule="auto"/>
        <w:ind w:firstLine="650" w:left="33" w:right="154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十二、项目支出：</w:t>
      </w:r>
      <w:r>
        <w:rPr>
          <w:spacing w:val="7"/>
          <w:sz w:val="31"/>
          <w:szCs w:val="31"/>
          <w:rFonts w:ascii="仿宋" w:hAnsi="仿宋" w:eastAsia="仿宋" w:cs="仿宋"/>
        </w:rPr>
        <w:t>指在基本支出之外为完成特定行政任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4"/>
          <w:sz w:val="31"/>
          <w:szCs w:val="31"/>
          <w:rFonts w:ascii="仿宋" w:hAnsi="仿宋" w:eastAsia="仿宋" w:cs="仿宋"/>
        </w:rPr>
        <w:t>务或事业发展目标所发生的支出。</w:t>
      </w:r>
    </w:p>
    <w:p w14:paraId="7A0AE477">
      <w:pPr>
        <w:spacing w:before="249" w:line="297" w:lineRule="auto"/>
        <w:ind w:firstLine="639" w:left="44" w:right="155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十三、经营支出：</w:t>
      </w:r>
      <w:r>
        <w:rPr>
          <w:spacing w:val="7"/>
          <w:sz w:val="31"/>
          <w:szCs w:val="31"/>
          <w:rFonts w:ascii="仿宋" w:hAnsi="仿宋" w:eastAsia="仿宋" w:cs="仿宋"/>
        </w:rPr>
        <w:t>指事业单位在专业业务活动及其辅助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活动之外开展非独立核算经营活动发生的支出。</w:t>
      </w:r>
    </w:p>
    <w:p w14:paraId="4225628E">
      <w:pPr>
        <w:spacing w:before="249" w:line="297" w:lineRule="auto"/>
        <w:ind w:firstLine="643" w:left="40" w:right="15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十四、上缴上级支出：</w:t>
      </w:r>
      <w:r>
        <w:rPr>
          <w:spacing w:val="7"/>
          <w:sz w:val="31"/>
          <w:szCs w:val="31"/>
          <w:rFonts w:ascii="仿宋" w:hAnsi="仿宋" w:eastAsia="仿宋" w:cs="仿宋"/>
        </w:rPr>
        <w:t>指事业单位按照有关</w:t>
      </w:r>
      <w:r>
        <w:rPr>
          <w:spacing w:val="6"/>
          <w:sz w:val="31"/>
          <w:szCs w:val="31"/>
          <w:rFonts w:ascii="仿宋" w:hAnsi="仿宋" w:eastAsia="仿宋" w:cs="仿宋"/>
        </w:rPr>
        <w:t>规定上缴上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2"/>
          <w:sz w:val="31"/>
          <w:szCs w:val="31"/>
          <w:rFonts w:ascii="仿宋" w:hAnsi="仿宋" w:eastAsia="仿宋" w:cs="仿宋"/>
        </w:rPr>
        <w:t>级单位的支出。</w:t>
      </w:r>
    </w:p>
    <w:p w14:paraId="07EBFCBC">
      <w:pPr>
        <w:spacing w:before="251" w:line="297" w:lineRule="auto"/>
        <w:ind w:firstLine="654" w:left="29" w:right="152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十五、对附属单位补助支出：</w:t>
      </w:r>
      <w:r>
        <w:rPr>
          <w:spacing w:val="6"/>
          <w:sz w:val="31"/>
          <w:szCs w:val="31"/>
          <w:rFonts w:ascii="仿宋" w:hAnsi="仿宋" w:eastAsia="仿宋" w:cs="仿宋"/>
        </w:rPr>
        <w:t>指事业单位用财政补助收</w:t>
      </w:r>
      <w:r>
        <w:rPr>
          <w:spacing w:val="9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8"/>
          <w:sz w:val="31"/>
          <w:szCs w:val="31"/>
          <w:rFonts w:ascii="仿宋" w:hAnsi="仿宋" w:eastAsia="仿宋" w:cs="仿宋"/>
        </w:rPr>
        <w:t>入之外的收入对附属单位补助发生的支出。</w:t>
      </w:r>
    </w:p>
    <w:p w14:paraId="45F01481">
      <w:pPr>
        <w:spacing w:before="252" w:line="342" w:lineRule="auto"/>
        <w:ind w:firstLine="658" w:left="25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十六、“三公”经费：</w:t>
      </w:r>
      <w:r>
        <w:rPr>
          <w:spacing w:val="7"/>
          <w:sz w:val="31"/>
          <w:szCs w:val="31"/>
          <w:rFonts w:ascii="仿宋" w:hAnsi="仿宋" w:eastAsia="仿宋" w:cs="仿宋"/>
        </w:rPr>
        <w:t>纳入省级财政预决算</w:t>
      </w:r>
      <w:r>
        <w:rPr>
          <w:spacing w:val="6"/>
          <w:sz w:val="31"/>
          <w:szCs w:val="31"/>
          <w:rFonts w:ascii="仿宋" w:hAnsi="仿宋" w:eastAsia="仿宋" w:cs="仿宋"/>
        </w:rPr>
        <w:t>管理的“三</w:t>
      </w:r>
      <w:r>
        <w:rPr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9"/>
          <w:sz w:val="31"/>
          <w:szCs w:val="31"/>
          <w:rFonts w:ascii="仿宋" w:hAnsi="仿宋" w:eastAsia="仿宋" w:cs="仿宋"/>
        </w:rPr>
        <w:t>公”经费，是指省级部门用财政拨款安排的因公出国（境）</w:t>
      </w:r>
      <w:r>
        <w:rPr>
          <w:spacing w:val="3"/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9"/>
          <w:sz w:val="31"/>
          <w:szCs w:val="31"/>
          <w:rFonts w:ascii="仿宋" w:hAnsi="仿宋" w:eastAsia="仿宋" w:cs="仿宋"/>
        </w:rPr>
        <w:t>费、公务用车购置及运行维护费和公务接待费。是党</w:t>
      </w:r>
      <w:r>
        <w:rPr>
          <w:spacing w:val="8"/>
          <w:sz w:val="31"/>
          <w:szCs w:val="31"/>
          <w:rFonts w:ascii="仿宋" w:hAnsi="仿宋" w:eastAsia="仿宋" w:cs="仿宋"/>
        </w:rPr>
        <w:t>政机关</w:t>
      </w:r>
      <w:r>
        <w:rPr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9"/>
          <w:sz w:val="31"/>
          <w:szCs w:val="31"/>
          <w:rFonts w:ascii="仿宋" w:hAnsi="仿宋" w:eastAsia="仿宋" w:cs="仿宋"/>
        </w:rPr>
        <w:t>维持运转或完成特定工作任务所开支的相关支出，</w:t>
      </w:r>
      <w:r>
        <w:rPr>
          <w:spacing w:val="8"/>
          <w:sz w:val="31"/>
          <w:szCs w:val="31"/>
          <w:rFonts w:ascii="仿宋" w:hAnsi="仿宋" w:eastAsia="仿宋" w:cs="仿宋"/>
        </w:rPr>
        <w:t>是政府行</w:t>
      </w:r>
      <w:r>
        <w:rPr>
          <w:sz w:val="31"/>
          <w:szCs w:val="31"/>
          <w:rFonts w:ascii="仿宋" w:hAnsi="仿宋" w:eastAsia="仿宋" w:cs="仿宋"/>
        </w:rPr>
        <w:t xml:space="preserve">  </w:t>
      </w:r>
      <w:r>
        <w:rPr>
          <w:spacing w:val="-12"/>
          <w:sz w:val="31"/>
          <w:szCs w:val="31"/>
          <w:rFonts w:ascii="仿宋" w:hAnsi="仿宋" w:eastAsia="仿宋" w:cs="仿宋"/>
        </w:rPr>
        <w:t>政开支的一部分。其中，</w:t>
      </w:r>
      <w:r>
        <w:rPr>
          <w:spacing w:val="-4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12"/>
          <w:sz w:val="31"/>
          <w:szCs w:val="31"/>
          <w:rFonts w:ascii="仿宋" w:hAnsi="仿宋" w:eastAsia="仿宋" w:cs="仿宋"/>
        </w:rPr>
        <w:t>因公出国（境）费反映公</w:t>
      </w:r>
      <w:r>
        <w:rPr>
          <w:spacing w:val="-13"/>
          <w:sz w:val="31"/>
          <w:szCs w:val="31"/>
          <w:rFonts w:ascii="仿宋" w:hAnsi="仿宋" w:eastAsia="仿宋" w:cs="仿宋"/>
        </w:rPr>
        <w:t>务出国（境）</w:t>
      </w:r>
    </w:p>
    <w:p w14:paraId="54F3F46A">
      <w:pPr>
        <w:spacing w:line="342" w:lineRule="auto"/>
        <w:rPr>
          <w:sz w:val="31"/>
          <w:szCs w:val="31"/>
          <w:rFonts w:ascii="仿宋" w:hAnsi="仿宋" w:eastAsia="仿宋" w:cs="仿宋"/>
        </w:rPr>
        <w:sectPr>
          <w:footerReference r:id="rId29" w:type="default"/>
          <w:docGrid w:type="default" w:charSpace="0"/>
          <w:pgSz w:w="11907" w:h="16839"/>
          <w:pgMar w:top="1431" w:right="1646" w:bottom="1153" w:left="1785" w:header="0" w:footer="965" w:gutter="0"/>
          <w:cols w:space="720" w:num="1"/>
        </w:sectPr>
      </w:pPr>
    </w:p>
    <w:p w14:paraId="36B45B76">
      <w:pPr>
        <w:jc w:val="both"/>
        <w:spacing w:before="155" w:line="366" w:lineRule="auto"/>
        <w:ind w:firstLine="28" w:left="25"/>
        <w:rPr>
          <w:sz w:val="31"/>
          <w:szCs w:val="31"/>
          <w:rFonts w:ascii="仿宋" w:hAnsi="仿宋" w:eastAsia="仿宋" w:cs="仿宋"/>
        </w:rPr>
      </w:pPr>
      <w:r>
        <w:rPr>
          <w:spacing w:val="-1"/>
          <w:sz w:val="31"/>
          <w:szCs w:val="31"/>
          <w:rFonts w:ascii="仿宋" w:hAnsi="仿宋" w:eastAsia="仿宋" w:cs="仿宋"/>
        </w:rPr>
        <w:t>的国际旅费、国外城市间交通费、住宿费、伙食费、培训费、</w:t>
      </w:r>
      <w:r>
        <w:rPr>
          <w:spacing w:val="16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公杂费等支出；公务用车购置及运行费反映单位公务用</w:t>
      </w:r>
      <w:r>
        <w:rPr>
          <w:spacing w:val="8"/>
          <w:sz w:val="31"/>
          <w:szCs w:val="31"/>
          <w:rFonts w:ascii="仿宋" w:hAnsi="仿宋" w:eastAsia="仿宋" w:cs="仿宋"/>
        </w:rPr>
        <w:t>车车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辆购置支出（含车辆购置税）及燃料费、维修费、过桥</w:t>
      </w:r>
      <w:r>
        <w:rPr>
          <w:spacing w:val="8"/>
          <w:sz w:val="31"/>
          <w:szCs w:val="31"/>
          <w:rFonts w:ascii="仿宋" w:hAnsi="仿宋" w:eastAsia="仿宋" w:cs="仿宋"/>
        </w:rPr>
        <w:t>过路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费、保险费、安全奖励费等支出；公务接待费反映单位</w:t>
      </w:r>
      <w:r>
        <w:rPr>
          <w:spacing w:val="8"/>
          <w:sz w:val="31"/>
          <w:szCs w:val="31"/>
          <w:rFonts w:ascii="仿宋" w:hAnsi="仿宋" w:eastAsia="仿宋" w:cs="仿宋"/>
        </w:rPr>
        <w:t>按规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定开支的各类公务接待（含外宾接待）支出。</w:t>
      </w:r>
    </w:p>
    <w:p w14:paraId="635C55B4">
      <w:pPr>
        <w:spacing w:before="48" w:line="347" w:lineRule="auto"/>
        <w:ind w:firstLine="656" w:left="26" w:right="9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7"/>
          <w:sz w:val="31"/>
          <w:bCs/>
          <w:szCs w:val="31"/>
          <w:rFonts w:ascii="仿宋" w:hAnsi="仿宋" w:eastAsia="仿宋" w:cs="仿宋"/>
        </w:rPr>
        <w:t>十七、机关运行经费：</w:t>
      </w:r>
      <w:r>
        <w:rPr>
          <w:spacing w:val="7"/>
          <w:sz w:val="31"/>
          <w:szCs w:val="31"/>
          <w:rFonts w:ascii="仿宋" w:hAnsi="仿宋" w:eastAsia="仿宋" w:cs="仿宋"/>
        </w:rPr>
        <w:t>指为保障行政单位（包</w:t>
      </w:r>
      <w:r>
        <w:rPr>
          <w:spacing w:val="6"/>
          <w:sz w:val="31"/>
          <w:szCs w:val="31"/>
          <w:rFonts w:ascii="仿宋" w:hAnsi="仿宋" w:eastAsia="仿宋" w:cs="仿宋"/>
        </w:rPr>
        <w:t>括参照公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务员法管理的事业单位）运行用于购买货物和服务的</w:t>
      </w:r>
      <w:r>
        <w:rPr>
          <w:spacing w:val="8"/>
          <w:sz w:val="31"/>
          <w:szCs w:val="31"/>
          <w:rFonts w:ascii="仿宋" w:hAnsi="仿宋" w:eastAsia="仿宋" w:cs="仿宋"/>
        </w:rPr>
        <w:t>各项资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金，包括办公费、</w:t>
      </w:r>
      <w:r>
        <w:rPr>
          <w:spacing w:val="-82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6"/>
          <w:sz w:val="31"/>
          <w:szCs w:val="31"/>
          <w:rFonts w:ascii="仿宋" w:hAnsi="仿宋" w:eastAsia="仿宋" w:cs="仿宋"/>
        </w:rPr>
        <w:t>印刷费、邮电费、差旅费、会议费、福利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费、日常维修费、专用材料及一般设备购置费、</w:t>
      </w:r>
      <w:r>
        <w:rPr>
          <w:spacing w:val="8"/>
          <w:sz w:val="31"/>
          <w:szCs w:val="31"/>
          <w:rFonts w:ascii="仿宋" w:hAnsi="仿宋" w:eastAsia="仿宋" w:cs="仿宋"/>
        </w:rPr>
        <w:t>办公用房水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9"/>
          <w:sz w:val="31"/>
          <w:szCs w:val="31"/>
          <w:rFonts w:ascii="仿宋" w:hAnsi="仿宋" w:eastAsia="仿宋" w:cs="仿宋"/>
        </w:rPr>
        <w:t>电费、办公用房取暖费、办公用房物业管理费、</w:t>
      </w:r>
      <w:r>
        <w:rPr>
          <w:spacing w:val="8"/>
          <w:sz w:val="31"/>
          <w:szCs w:val="31"/>
          <w:rFonts w:ascii="仿宋" w:hAnsi="仿宋" w:eastAsia="仿宋" w:cs="仿宋"/>
        </w:rPr>
        <w:t>公务用车运</w:t>
      </w:r>
      <w:r>
        <w:rPr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3"/>
          <w:sz w:val="31"/>
          <w:szCs w:val="31"/>
          <w:rFonts w:ascii="仿宋" w:hAnsi="仿宋" w:eastAsia="仿宋" w:cs="仿宋"/>
        </w:rPr>
        <w:t>行维护费以及其他费用。</w:t>
      </w:r>
    </w:p>
    <w:p w14:paraId="4595CD1E">
      <w:pPr>
        <w:spacing w:before="250" w:line="322" w:lineRule="auto"/>
        <w:ind w:firstLine="640" w:left="43" w:right="9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6"/>
          <w:sz w:val="31"/>
          <w:bCs/>
          <w:szCs w:val="31"/>
          <w:rFonts w:ascii="仿宋" w:hAnsi="仿宋" w:eastAsia="仿宋" w:cs="仿宋"/>
        </w:rPr>
        <w:t>十八、</w:t>
      </w:r>
      <w:r>
        <w:rPr>
          <w:b w:val="1"/>
          <w:spacing w:val="6"/>
          <w:sz w:val="31"/>
          <w:bCs/>
          <w:szCs w:val="31"/>
          <w:rFonts w:ascii="宋体" w:hAnsi="宋体" w:eastAsia="宋体" w:cs="宋体"/>
        </w:rPr>
        <w:t>******</w:t>
      </w:r>
      <w:r>
        <w:rPr>
          <w:spacing w:val="6"/>
          <w:sz w:val="31"/>
          <w:szCs w:val="31"/>
          <w:rFonts w:ascii="仿宋" w:hAnsi="仿宋" w:eastAsia="仿宋" w:cs="仿宋"/>
        </w:rPr>
        <w:t>（对部门使用的所有“项”级政府收支分</w:t>
      </w:r>
      <w:r>
        <w:rPr>
          <w:spacing w:val="5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7"/>
          <w:sz w:val="31"/>
          <w:szCs w:val="31"/>
          <w:rFonts w:ascii="仿宋" w:hAnsi="仿宋" w:eastAsia="仿宋" w:cs="仿宋"/>
        </w:rPr>
        <w:t>类科目，参照《</w:t>
      </w:r>
      <w:r>
        <w:rPr>
          <w:spacing w:val="7"/>
          <w:sz w:val="31"/>
          <w:szCs w:val="31"/>
          <w:rFonts w:ascii="宋体" w:hAnsi="宋体" w:eastAsia="宋体" w:cs="宋体"/>
        </w:rPr>
        <w:t>2023</w:t>
      </w:r>
      <w:r>
        <w:rPr>
          <w:spacing w:val="7"/>
          <w:sz w:val="31"/>
          <w:szCs w:val="31"/>
          <w:rFonts w:ascii="仿宋" w:hAnsi="仿宋" w:eastAsia="仿宋" w:cs="仿宋"/>
        </w:rPr>
        <w:t>年政府收支分类科目》中的科目说明和</w:t>
      </w:r>
      <w:r>
        <w:rPr>
          <w:spacing w:val="18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5"/>
          <w:sz w:val="31"/>
          <w:szCs w:val="31"/>
          <w:rFonts w:ascii="仿宋" w:hAnsi="仿宋" w:eastAsia="仿宋" w:cs="仿宋"/>
        </w:rPr>
        <w:t>中央部门决算公开内容进行说明</w:t>
      </w:r>
      <w:r>
        <w:rPr>
          <w:spacing w:val="19"/>
          <w:sz w:val="31"/>
          <w:szCs w:val="31"/>
          <w:rFonts w:ascii="仿宋" w:hAnsi="仿宋" w:eastAsia="仿宋" w:cs="仿宋"/>
        </w:rPr>
        <w:t>）：</w:t>
      </w:r>
    </w:p>
    <w:p w14:paraId="65E591BE">
      <w:pPr>
        <w:spacing w:before="250" w:line="224" w:lineRule="auto"/>
        <w:ind w:left="683"/>
        <w:rPr>
          <w:sz w:val="31"/>
          <w:szCs w:val="31"/>
          <w:rFonts w:ascii="仿宋" w:hAnsi="仿宋" w:eastAsia="仿宋" w:cs="仿宋"/>
        </w:rPr>
      </w:pPr>
      <w:r>
        <w:rPr>
          <w:b w:val="1"/>
          <w:spacing w:val="-8"/>
          <w:sz w:val="31"/>
          <w:bCs/>
          <w:szCs w:val="31"/>
          <w:rFonts w:ascii="仿宋" w:hAnsi="仿宋" w:eastAsia="仿宋" w:cs="仿宋"/>
        </w:rPr>
        <w:t>十九、</w:t>
      </w:r>
      <w:r>
        <w:rPr>
          <w:spacing w:val="-8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8"/>
          <w:sz w:val="31"/>
          <w:szCs w:val="31"/>
          <w:rFonts w:ascii="仿宋" w:hAnsi="仿宋" w:eastAsia="仿宋" w:cs="仿宋"/>
        </w:rPr>
        <w:t>…</w:t>
      </w:r>
      <w:r>
        <w:rPr>
          <w:spacing w:val="-103"/>
          <w:sz w:val="31"/>
          <w:szCs w:val="31"/>
          <w:rFonts w:ascii="仿宋" w:hAnsi="仿宋" w:eastAsia="仿宋" w:cs="仿宋"/>
        </w:rPr>
        <w:t xml:space="preserve"> </w:t>
      </w:r>
      <w:r>
        <w:rPr>
          <w:spacing w:val="-8"/>
          <w:sz w:val="31"/>
          <w:szCs w:val="31"/>
          <w:rFonts w:ascii="仿宋" w:hAnsi="仿宋" w:eastAsia="仿宋" w:cs="仿宋"/>
        </w:rPr>
        <w:t>…（同上）</w:t>
      </w:r>
    </w:p>
    <w:p w14:paraId="50CC81A7">
      <w:pPr>
        <w:spacing w:before="249" w:line="355" w:lineRule="auto"/>
        <w:ind w:firstLine="648" w:left="26" w:right="98"/>
        <w:rPr>
          <w:sz w:val="31"/>
          <w:szCs w:val="31"/>
          <w:rFonts w:ascii="仿宋" w:hAnsi="仿宋" w:eastAsia="仿宋" w:cs="仿宋"/>
        </w:rPr>
      </w:pPr>
      <w:r>
        <w:rPr>
          <w:color w:val="FF0000"/>
          <w:spacing w:val="5"/>
          <w:sz w:val="31"/>
          <w:szCs w:val="31"/>
          <w:rFonts w:ascii="仿宋" w:hAnsi="仿宋" w:eastAsia="仿宋" w:cs="仿宋"/>
        </w:rPr>
        <w:t>注：</w:t>
      </w:r>
      <w:r>
        <w:rPr>
          <w:color w:val="FF0000"/>
          <w:spacing w:val="-75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5"/>
          <w:sz w:val="31"/>
          <w:szCs w:val="31"/>
          <w:rFonts w:ascii="仿宋" w:hAnsi="仿宋" w:eastAsia="仿宋" w:cs="仿宋"/>
        </w:rPr>
        <w:t>以上名词解释供参考，可以根据本单位实际情况进</w:t>
      </w:r>
      <w:r>
        <w:rPr>
          <w:color w:val="FF0000"/>
          <w:sz w:val="31"/>
          <w:szCs w:val="31"/>
          <w:rFonts w:ascii="仿宋" w:hAnsi="仿宋" w:eastAsia="仿宋" w:cs="仿宋"/>
        </w:rPr>
        <w:t xml:space="preserve"> </w:t>
      </w:r>
      <w:r>
        <w:rPr>
          <w:color w:val="FF0000"/>
          <w:spacing w:val="3"/>
          <w:sz w:val="31"/>
          <w:szCs w:val="31"/>
          <w:rFonts w:ascii="仿宋" w:hAnsi="仿宋" w:eastAsia="仿宋" w:cs="仿宋"/>
        </w:rPr>
        <w:t>行增减并重新编辑序号。</w:t>
      </w:r>
    </w:p>
    <w:sectPr>
      <w:footerReference r:id="rId30" w:type="default"/>
      <w:docGrid w:type="default" w:charSpace="0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g="http://schemas.microsoft.com/office/word/2010/wordprocessingGroup" xmlns:wpi="http://schemas.microsoft.com/office/word/2010/wordprocessingInk" xmlns:w10="urn:schemas-microsoft-com:office:word" xmlns:w15="http://schemas.microsoft.com/office/word/2012/wordml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216E02AF">
    <w:pPr>
      <w:spacing w:line="177" w:lineRule="auto"/>
      <w:ind w:left="4138"/>
      <w:rPr>
        <w:sz w:val="21"/>
        <w:szCs w:val="21"/>
        <w:rFonts w:ascii="Times New Roman" w:hAnsi="Times New Roman" w:eastAsia="Times New Roman" w:cs="Times New Roman"/>
      </w:rPr>
    </w:pPr>
    <w:r>
      <w:rPr>
        <w:sz w:val="21"/>
        <w:szCs w:val="21"/>
        <w:rFonts w:ascii="Times New Roman" w:hAnsi="Times New Roman" w:eastAsia="Times New Roman" w:cs="Times New Roman"/>
      </w:rPr>
      <w:t>1</w:t>
    </w:r>
  </w:p>
</w:ftr>
</file>

<file path=word/footer10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011D47B5">
    <w:pPr>
      <w:spacing w:line="176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23</w:t>
    </w:r>
  </w:p>
</w:ftr>
</file>

<file path=word/footer1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3F549EA7">
    <w:pPr>
      <w:spacing w:line="177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24</w:t>
    </w:r>
  </w:p>
</w:ftr>
</file>

<file path=word/footer12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68F17E35">
    <w:pPr>
      <w:spacing w:line="176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25</w:t>
    </w:r>
  </w:p>
</w:ftr>
</file>

<file path=word/footer13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657E1209">
    <w:pPr>
      <w:spacing w:line="176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26</w:t>
    </w:r>
  </w:p>
</w:ftr>
</file>

<file path=word/footer14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75C58959">
    <w:pPr>
      <w:spacing w:line="176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27</w:t>
    </w:r>
  </w:p>
</w:ftr>
</file>

<file path=word/footer2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1A3210AC">
    <w:pPr>
      <w:spacing w:line="177" w:lineRule="auto"/>
      <w:ind w:left="4118"/>
      <w:rPr>
        <w:sz w:val="21"/>
        <w:szCs w:val="21"/>
        <w:rFonts w:ascii="Times New Roman" w:hAnsi="Times New Roman" w:eastAsia="Times New Roman" w:cs="Times New Roman"/>
      </w:rPr>
    </w:pPr>
    <w:r>
      <w:rPr>
        <w:sz w:val="21"/>
        <w:szCs w:val="21"/>
        <w:rFonts w:ascii="Times New Roman" w:hAnsi="Times New Roman" w:eastAsia="Times New Roman" w:cs="Times New Roman"/>
      </w:rPr>
      <w:t>2</w:t>
    </w:r>
  </w:p>
</w:ftr>
</file>

<file path=word/footer3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00F8094A">
    <w:pPr>
      <w:spacing w:line="176" w:lineRule="auto"/>
      <w:ind w:left="4122"/>
      <w:rPr>
        <w:sz w:val="21"/>
        <w:szCs w:val="21"/>
        <w:rFonts w:ascii="Times New Roman" w:hAnsi="Times New Roman" w:eastAsia="Times New Roman" w:cs="Times New Roman"/>
      </w:rPr>
    </w:pPr>
    <w:r>
      <w:rPr>
        <w:sz w:val="21"/>
        <w:szCs w:val="21"/>
        <w:rFonts w:ascii="Times New Roman" w:hAnsi="Times New Roman" w:eastAsia="Times New Roman" w:cs="Times New Roman"/>
      </w:rPr>
      <w:t>3</w:t>
    </w:r>
  </w:p>
</w:ftr>
</file>

<file path=word/footer4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00E01950">
    <w:pPr>
      <w:spacing w:line="176" w:lineRule="auto"/>
      <w:ind w:left="4127"/>
      <w:rPr>
        <w:sz w:val="21"/>
        <w:szCs w:val="21"/>
        <w:rFonts w:ascii="Times New Roman" w:hAnsi="Times New Roman" w:eastAsia="Times New Roman" w:cs="Times New Roman"/>
      </w:rPr>
    </w:pPr>
    <w:r>
      <w:rPr>
        <w:sz w:val="21"/>
        <w:szCs w:val="21"/>
        <w:rFonts w:ascii="Times New Roman" w:hAnsi="Times New Roman" w:eastAsia="Times New Roman" w:cs="Times New Roman"/>
      </w:rPr>
      <w:t>8</w:t>
    </w:r>
  </w:p>
</w:ftr>
</file>

<file path=word/footer5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1E08D6E4">
    <w:pPr>
      <w:spacing w:line="177" w:lineRule="auto"/>
      <w:ind w:left="4088"/>
      <w:rPr>
        <w:sz w:val="21"/>
        <w:szCs w:val="21"/>
        <w:rFonts w:ascii="Times New Roman" w:hAnsi="Times New Roman" w:eastAsia="Times New Roman" w:cs="Times New Roman"/>
      </w:rPr>
    </w:pPr>
    <w:r>
      <w:rPr>
        <w:spacing w:val="-6"/>
        <w:sz w:val="21"/>
        <w:szCs w:val="21"/>
        <w:rFonts w:ascii="Times New Roman" w:hAnsi="Times New Roman" w:eastAsia="Times New Roman" w:cs="Times New Roman"/>
      </w:rPr>
      <w:t>14</w:t>
    </w:r>
  </w:p>
</w:ftr>
</file>

<file path=word/footer6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22BBB0BD">
    <w:pPr>
      <w:spacing w:line="176" w:lineRule="auto"/>
      <w:ind w:left="4088"/>
      <w:rPr>
        <w:sz w:val="21"/>
        <w:szCs w:val="21"/>
        <w:rFonts w:ascii="Times New Roman" w:hAnsi="Times New Roman" w:eastAsia="Times New Roman" w:cs="Times New Roman"/>
      </w:rPr>
    </w:pPr>
    <w:r>
      <w:rPr>
        <w:spacing w:val="-6"/>
        <w:sz w:val="21"/>
        <w:szCs w:val="21"/>
        <w:rFonts w:ascii="Times New Roman" w:hAnsi="Times New Roman" w:eastAsia="Times New Roman" w:cs="Times New Roman"/>
      </w:rPr>
      <w:t>18</w:t>
    </w:r>
  </w:p>
</w:ftr>
</file>

<file path=word/footer7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387E5370">
    <w:pPr>
      <w:spacing w:line="176" w:lineRule="auto"/>
      <w:ind w:left="4088"/>
      <w:rPr>
        <w:sz w:val="21"/>
        <w:szCs w:val="21"/>
        <w:rFonts w:ascii="Times New Roman" w:hAnsi="Times New Roman" w:eastAsia="Times New Roman" w:cs="Times New Roman"/>
      </w:rPr>
    </w:pPr>
    <w:r>
      <w:rPr>
        <w:spacing w:val="-6"/>
        <w:sz w:val="21"/>
        <w:szCs w:val="21"/>
        <w:rFonts w:ascii="Times New Roman" w:hAnsi="Times New Roman" w:eastAsia="Times New Roman" w:cs="Times New Roman"/>
      </w:rPr>
      <w:t>19</w:t>
    </w:r>
  </w:p>
</w:ftr>
</file>

<file path=word/footer8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29C18937">
    <w:pPr>
      <w:spacing w:line="176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20</w:t>
    </w:r>
  </w:p>
</w:ftr>
</file>

<file path=word/footer9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7A6820F2">
    <w:pPr>
      <w:spacing w:line="177" w:lineRule="auto"/>
      <w:ind w:left="4068"/>
      <w:rPr>
        <w:sz w:val="21"/>
        <w:szCs w:val="21"/>
        <w:rFonts w:ascii="Times New Roman" w:hAnsi="Times New Roman" w:eastAsia="Times New Roman" w:cs="Times New Roman"/>
      </w:rPr>
    </w:pPr>
    <w:r>
      <w:rPr>
        <w:spacing w:val="-1"/>
        <w:sz w:val="21"/>
        <w:szCs w:val="21"/>
        <w:rFonts w:ascii="Times New Roman" w:hAnsi="Times New Roman" w:eastAsia="Times New Roman" w:cs="Times New Roman"/>
      </w:rPr>
      <w:t>21</w:t>
    </w:r>
  </w:p>
</w:ftr>
</file>

<file path=word/footnotes.xml><?xml version="1.0" encoding="utf-8"?>
<w:footnotes xmlns:wps="http://schemas.microsoft.com/office/word/2010/wordprocessingShape" xmlns:wne="http://schemas.microsoft.com/office/word/2006/wordml" xmlns:wpg="http://schemas.microsoft.com/office/word/2010/wordprocessingGroup" xmlns:wpi="http://schemas.microsoft.com/office/word/2010/wordprocessingInk" xmlns:w10="urn:schemas-microsoft-com:office:word" xmlns:w15="http://schemas.microsoft.com/office/word/2012/wordml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8CFB0334"/>
    <w:multiLevelType w:val="singleLevel"/>
    <w:tmpl w:val="8CFB0334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E7299F01"/>
    <w:multiLevelType w:val="singleLevel"/>
    <w:tmpl w:val="E7299F0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zoom w:percent="100"/>
  <w:compat>
    <w:spaceForUL/>
    <w:ulTrailSpace/>
    <w:doNotExpandShiftReturn/>
    <w:useFELayout/>
    <w:compatSetting w:val="14" w:uri="http://schemas.microsoft.com/office/word" w:name="compatibilityMode"/>
  </w:compat>
  <w:rsids>
    <w:rsidRoot w:val="00000000"/>
    <w:rsid w:val="00490B57"/>
    <w:rsid w:val="1B2B13FC"/>
    <w:rsid w:val="26787B3C"/>
    <w:rsid w:val="28BE5545"/>
    <w:rsid w:val="2A2E4796"/>
    <w:rsid w:val="48514051"/>
    <w:rsid w:val="4871124F"/>
    <w:rsid w:val="49C32E19"/>
    <w:rsid w:val="559A258C"/>
    <w:rsid w:val="7CE67289"/>
  </w:rsids>
  <m:mathPr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semiHidden/>
    <w:qFormat/>
    <w:pPr>
      <w:kinsoku w:val="0"/>
      <w:autoSpaceDE w:val="0"/>
      <w:autoSpaceDN w:val="0"/>
      <w:adjustRightInd w:val="0"/>
      <w:snapToGrid w:val="0"/>
      <w:jc w:val="left"/>
      <w:spacing w:line="240" w:lineRule="auto"/>
    </w:pPr>
    <w:rPr>
      <w:color w:val="000000"/>
      <w:sz w:val="21"/>
      <w:lang w:val="en-US" w:eastAsia="en-US" w:bidi="ar-SA"/>
      <w:kern w:val="0"/>
      <w:szCs w:val="21"/>
      <w:rFonts w:ascii="Arial" w:hAnsi="Arial" w:eastAsia="Arial" w:cs="Arial"/>
    </w:rPr>
  </w:style>
  <w:style w:type="character" w:styleId="4" w:default="1">
    <w:name w:val="Default Paragraph Font"/>
    <w:uiPriority w:val="0"/>
    <w:semiHidden/>
    <w:qFormat/>
  </w:style>
  <w:style w:type="table" w:styleId="3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Body Text"/>
    <w:basedOn w:val="1"/>
    <w:uiPriority w:val="0"/>
    <w:semiHidden/>
    <w:qFormat/>
    <w:rPr>
      <w:sz w:val="21"/>
      <w:lang w:val="en-US" w:eastAsia="en-US" w:bidi="ar-SA"/>
      <w:szCs w:val="21"/>
      <w:rFonts w:ascii="Arial" w:hAnsi="Arial" w:eastAsia="Arial" w:cs="Arial"/>
    </w:rPr>
  </w:style>
  <w:style w:type="table" w:styleId="5" w:customStyle="1">
    <w:name w:val="Table Normal"/>
    <w:uiPriority w:val="0"/>
    <w:semiHidden/>
    <w:unhideWhenUsed/>
    <w:qFormat/>
    <w:tblPr>
      <w:tblCellMar>
        <w:top w:type="dxa" w:w="0.000000"/>
        <w:bottom w:type="dxa" w:w="0.000000"/>
        <w:left w:type="dxa" w:w="0.000000"/>
        <w:right w:type="dxa" w:w="0.000000"/>
      </w:tblCellMar>
    </w:tblPr>
  </w:style>
  <w:style w:type="character" w:styleId="6" w:customStyle="1">
    <w:name w:val="font51"/>
    <w:basedOn w:val="4"/>
    <w:uiPriority w:val="0"/>
    <w:qFormat/>
    <w:rPr>
      <w:u w:val="none"/>
      <w:color w:val="000000"/>
      <w:sz w:val="24"/>
      <w:szCs w:val="24"/>
      <w:rFonts w:ascii="Times New Roman" w:hAnsi="Times New Roman" w:cs="Times New Roman" w:hint="default"/>
    </w:rPr>
  </w:style>
  <w:style w:type="character" w:styleId="7" w:customStyle="1">
    <w:name w:val="NormalCharacter"/>
    <w:uiPriority w:val="0"/>
    <w:qFormat/>
    <w:rPr>
      <w:sz w:val="21"/>
      <w:lang w:val="en-US" w:eastAsia="zh-CN" w:bidi="ar-SA"/>
      <w:kern w:val="2"/>
    </w:rPr>
  </w:style>
</w:styles>
</file>

<file path=word/_rels/document.xml.rels><?xml version="1.0" encoding="UTF-8" standalone="yes"?><Relationships xmlns="http://schemas.openxmlformats.org/package/2006/relationships"><Relationship Id="rId30" Type="http://schemas.openxmlformats.org/officeDocument/2006/relationships/footer" Target="footer14.xml" /><Relationship Id="rId29" Type="http://schemas.openxmlformats.org/officeDocument/2006/relationships/footer" Target="footer13.xml" /><Relationship Id="rId28" Type="http://schemas.openxmlformats.org/officeDocument/2006/relationships/footer" Target="footer12.xml" /><Relationship Id="rId25" Type="http://schemas.openxmlformats.org/officeDocument/2006/relationships/footer" Target="footer9.xml" /><Relationship Id="rId22" Type="http://schemas.openxmlformats.org/officeDocument/2006/relationships/image" Target="media/image8.png" /><Relationship Id="rId21" Type="http://schemas.openxmlformats.org/officeDocument/2006/relationships/image" Target="media/image7.png" /><Relationship Id="rId23" Type="http://schemas.openxmlformats.org/officeDocument/2006/relationships/image" Target="media/image9.png" /><Relationship Id="rId20" Type="http://schemas.openxmlformats.org/officeDocument/2006/relationships/image" Target="media/image6.png" /><Relationship Id="rId18" Type="http://schemas.openxmlformats.org/officeDocument/2006/relationships/image" Target="media/image4.png" /><Relationship Id="rId24" Type="http://schemas.openxmlformats.org/officeDocument/2006/relationships/image" Target="media/image10.png" /><Relationship Id="rId11" Type="http://schemas.openxmlformats.org/officeDocument/2006/relationships/footer" Target="footer5.xml" /><Relationship Id="rId14" Type="http://schemas.openxmlformats.org/officeDocument/2006/relationships/footer" Target="footer8.xml" /><Relationship Id="rId12" Type="http://schemas.openxmlformats.org/officeDocument/2006/relationships/footer" Target="footer6.xml" /><Relationship Id="rId16" Type="http://schemas.openxmlformats.org/officeDocument/2006/relationships/image" Target="media/image2.png" /><Relationship Id="rId27" Type="http://schemas.openxmlformats.org/officeDocument/2006/relationships/footer" Target="footer11.xml" /><Relationship Id="rId19" Type="http://schemas.openxmlformats.org/officeDocument/2006/relationships/image" Target="media/image5.png" /><Relationship Id="rId1" Type="http://schemas.openxmlformats.org/officeDocument/2006/relationships/settings" Target="settings.xml" /><Relationship Id="rId9" Type="http://schemas.openxmlformats.org/officeDocument/2006/relationships/footer" Target="footer3.xml" /><Relationship Id="rId13" Type="http://schemas.openxmlformats.org/officeDocument/2006/relationships/footer" Target="footer7.xml" /><Relationship Id="rId2" Type="http://schemas.openxmlformats.org/officeDocument/2006/relationships/footnotes" Target="footnotes.xml" /><Relationship Id="rId0" Type="http://schemas.openxmlformats.org/officeDocument/2006/relationships/styles" Target="styles.xml" /><Relationship Id="rId7" Type="http://schemas.openxmlformats.org/officeDocument/2006/relationships/footer" Target="footer1.xml" /><Relationship Id="rId26" Type="http://schemas.openxmlformats.org/officeDocument/2006/relationships/footer" Target="footer10.xml" /><Relationship Id="rId5" Type="http://schemas.openxmlformats.org/officeDocument/2006/relationships/theme" Target="theme/theme1.xml" /><Relationship Id="rId10" Type="http://schemas.openxmlformats.org/officeDocument/2006/relationships/footer" Target="footer4.xml" /><Relationship Id="rId3" Type="http://schemas.openxmlformats.org/officeDocument/2006/relationships/endnotes" Target="endnotes.xml" /><Relationship Id="rId8" Type="http://schemas.openxmlformats.org/officeDocument/2006/relationships/footer" Target="footer2.xml" /><Relationship Id="rId15" Type="http://schemas.openxmlformats.org/officeDocument/2006/relationships/image" Target="media/image1.png" /><Relationship Id="rId4" Type="http://schemas.openxmlformats.org/officeDocument/2006/relationships/fontTable" Target="fontTable.xml" /><Relationship Id="rId17" Type="http://schemas.openxmlformats.org/officeDocument/2006/relationships/image" Target="media/image3.png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/>
  <TotalTime>24</TotalTime>
  <Pages>31</Pages>
  <Words>8837</Words>
  <Characters>9247</Characters>
  <Application>WPS Office_12.1.0.17133_F1E327BC-269C-435d-A152-05C5408002CA</Application>
  <DocSecurity>0</DocSecurity>
  <Lines>0</Lines>
  <Paragraphs>0</Paragraphs>
  <ScaleCrop>false</ScaleCrop>
  <Company/>
  <LinksUpToDate>false</LinksUpToDate>
  <CharactersWithSpaces>9716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2015年度部门决算公开模板</dc:title>
  <dc:subject/>
  <dc:creator>王志强</dc:creator>
  <cp:keywords/>
  <dc:description/>
  <cp:lastModifiedBy>关关</cp:lastModifiedBy>
  <cp:revision>0</cp:revision>
  <dcterms:created xsi:type="dcterms:W3CDTF">2024-08-07T08:54:00Z</dcterms:created>
  <dcterms:modified xsi:type="dcterms:W3CDTF">2024-09-09T08:00:33Z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wqlLaW5nc29mdCBQREYgdG8gV1BTIDEwMA</vt:lpwstr>
  </property>
  <property fmtid="{D5CDD505-2E9C-101B-9397-08002B2CF9AE}" pid="3" name="Created">
    <vt:filetime>2024-08-26T16:13:13Z</vt:filetime>
  </property>
  <property fmtid="{D5CDD505-2E9C-101B-9397-08002B2CF9AE}" pid="4" name="KSOProductBuildVer">
    <vt:lpwstr>2052-12.1.0.17133</vt:lpwstr>
  </property>
  <property fmtid="{D5CDD505-2E9C-101B-9397-08002B2CF9AE}" pid="5" name="ICV">
    <vt:lpwstr>1D0968BA0BD64BDEAB62A44CF68C4269_12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F061A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1D47CC46">
      <w:pPr>
        <w:pStyle w:val="2"/>
        <w:spacing w:line="251" w:lineRule="auto"/>
      </w:pPr>
    </w:p>
    <w:p w14:paraId="0305084C">
      <w:pPr>
        <w:pStyle w:val="2"/>
        <w:spacing w:line="251" w:lineRule="auto"/>
      </w:pPr>
    </w:p>
    <w:p w14:paraId="0A505029">
      <w:pPr>
        <w:pStyle w:val="2"/>
        <w:spacing w:line="252" w:lineRule="auto"/>
      </w:pPr>
    </w:p>
    <w:p w14:paraId="6AD43BCC">
      <w:pPr>
        <w:pStyle w:val="2"/>
        <w:spacing w:line="252" w:lineRule="auto"/>
      </w:pPr>
    </w:p>
    <w:p w14:paraId="16AACF81">
      <w:pPr>
        <w:pStyle w:val="2"/>
        <w:spacing w:line="252" w:lineRule="auto"/>
      </w:pPr>
    </w:p>
    <w:p w14:paraId="48DE5B7E">
      <w:pPr>
        <w:pStyle w:val="2"/>
        <w:spacing w:line="252" w:lineRule="auto"/>
      </w:pPr>
    </w:p>
    <w:p w14:paraId="4B012A1B">
      <w:pPr>
        <w:pStyle w:val="2"/>
        <w:spacing w:line="252" w:lineRule="auto"/>
      </w:pPr>
    </w:p>
    <w:p w14:paraId="0132BEB4">
      <w:pPr>
        <w:pStyle w:val="2"/>
        <w:spacing w:line="252" w:lineRule="auto"/>
      </w:pPr>
    </w:p>
    <w:p w14:paraId="1794352F">
      <w:pPr>
        <w:pStyle w:val="2"/>
        <w:spacing w:line="252" w:lineRule="auto"/>
      </w:pPr>
    </w:p>
    <w:p w14:paraId="04E9615D">
      <w:pPr>
        <w:pStyle w:val="2"/>
        <w:spacing w:line="252" w:lineRule="auto"/>
      </w:pPr>
    </w:p>
    <w:p w14:paraId="7D1EE5AA">
      <w:pPr>
        <w:pStyle w:val="2"/>
        <w:spacing w:line="252" w:lineRule="auto"/>
      </w:pPr>
    </w:p>
    <w:p w14:paraId="14A25FC8">
      <w:pPr>
        <w:pStyle w:val="2"/>
        <w:spacing w:line="252" w:lineRule="auto"/>
      </w:pPr>
    </w:p>
    <w:p w14:paraId="29BD3A69">
      <w:pPr>
        <w:pStyle w:val="2"/>
        <w:spacing w:line="252" w:lineRule="auto"/>
      </w:pPr>
    </w:p>
    <w:p w14:paraId="43DDC5F7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3186469A">
      <w:pPr>
        <w:pStyle w:val="2"/>
        <w:spacing w:line="477" w:lineRule="auto"/>
      </w:pPr>
    </w:p>
    <w:p w14:paraId="52F0A752">
      <w:pPr>
        <w:keepNext w:val="0"/>
        <w:keepLines w:val="0"/>
        <w:widowControl/>
        <w:suppressLineNumbers w:val="0"/>
        <w:ind w:firstLine="86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43"/>
          <w:szCs w:val="43"/>
          <w:lang w:val="en-US" w:eastAsia="zh-CN" w:bidi="ar"/>
        </w:rPr>
        <w:t>长春市南关区明珠街道办事处部门决算</w:t>
      </w:r>
    </w:p>
    <w:p w14:paraId="628BEB76">
      <w:pPr>
        <w:pStyle w:val="2"/>
        <w:spacing w:line="242" w:lineRule="auto"/>
      </w:pPr>
    </w:p>
    <w:p w14:paraId="3D5FA54D">
      <w:pPr>
        <w:pStyle w:val="2"/>
        <w:spacing w:line="242" w:lineRule="auto"/>
      </w:pPr>
    </w:p>
    <w:p w14:paraId="436A3C0B">
      <w:pPr>
        <w:pStyle w:val="2"/>
        <w:spacing w:line="242" w:lineRule="auto"/>
      </w:pPr>
    </w:p>
    <w:p w14:paraId="3E7D55D7">
      <w:pPr>
        <w:pStyle w:val="2"/>
        <w:spacing w:line="242" w:lineRule="auto"/>
      </w:pPr>
    </w:p>
    <w:p w14:paraId="03BA9CB5">
      <w:pPr>
        <w:pStyle w:val="2"/>
        <w:spacing w:line="242" w:lineRule="auto"/>
      </w:pPr>
    </w:p>
    <w:p w14:paraId="218FF644">
      <w:pPr>
        <w:pStyle w:val="2"/>
        <w:spacing w:line="242" w:lineRule="auto"/>
      </w:pPr>
    </w:p>
    <w:p w14:paraId="66EAFA9B">
      <w:pPr>
        <w:pStyle w:val="2"/>
        <w:spacing w:line="242" w:lineRule="auto"/>
      </w:pPr>
    </w:p>
    <w:p w14:paraId="4B269A86">
      <w:pPr>
        <w:pStyle w:val="2"/>
        <w:spacing w:line="242" w:lineRule="auto"/>
      </w:pPr>
    </w:p>
    <w:p w14:paraId="0BB26963">
      <w:pPr>
        <w:pStyle w:val="2"/>
        <w:spacing w:line="242" w:lineRule="auto"/>
      </w:pPr>
    </w:p>
    <w:p w14:paraId="5F850DE9">
      <w:pPr>
        <w:pStyle w:val="2"/>
        <w:spacing w:line="242" w:lineRule="auto"/>
      </w:pPr>
    </w:p>
    <w:p w14:paraId="3FFF6CB0">
      <w:pPr>
        <w:pStyle w:val="2"/>
        <w:spacing w:line="242" w:lineRule="auto"/>
      </w:pPr>
    </w:p>
    <w:p w14:paraId="01D050B0">
      <w:pPr>
        <w:pStyle w:val="2"/>
        <w:spacing w:line="243" w:lineRule="auto"/>
      </w:pPr>
    </w:p>
    <w:p w14:paraId="46AA20B0">
      <w:pPr>
        <w:pStyle w:val="2"/>
        <w:spacing w:line="243" w:lineRule="auto"/>
      </w:pPr>
    </w:p>
    <w:p w14:paraId="2516F33E">
      <w:pPr>
        <w:pStyle w:val="2"/>
        <w:spacing w:line="243" w:lineRule="auto"/>
      </w:pPr>
    </w:p>
    <w:p w14:paraId="43FD3143">
      <w:pPr>
        <w:pStyle w:val="2"/>
        <w:spacing w:line="243" w:lineRule="auto"/>
      </w:pPr>
    </w:p>
    <w:p w14:paraId="1125C26D">
      <w:pPr>
        <w:pStyle w:val="2"/>
        <w:spacing w:line="243" w:lineRule="auto"/>
      </w:pPr>
    </w:p>
    <w:p w14:paraId="426B75C1">
      <w:pPr>
        <w:pStyle w:val="2"/>
        <w:spacing w:line="243" w:lineRule="auto"/>
      </w:pPr>
    </w:p>
    <w:p w14:paraId="23686CF7">
      <w:pPr>
        <w:pStyle w:val="2"/>
        <w:spacing w:line="243" w:lineRule="auto"/>
      </w:pPr>
    </w:p>
    <w:p w14:paraId="16142989">
      <w:pPr>
        <w:pStyle w:val="2"/>
        <w:spacing w:line="243" w:lineRule="auto"/>
      </w:pPr>
    </w:p>
    <w:p w14:paraId="74A3C85D">
      <w:pPr>
        <w:pStyle w:val="2"/>
        <w:spacing w:line="243" w:lineRule="auto"/>
      </w:pPr>
    </w:p>
    <w:p w14:paraId="38CD19D4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ascii="仿宋" w:hAnsi="仿宋" w:eastAsia="仿宋" w:cs="仿宋"/>
          <w:spacing w:val="35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5E161150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9E0B18A">
      <w:pPr>
        <w:pStyle w:val="2"/>
        <w:spacing w:line="289" w:lineRule="auto"/>
      </w:pPr>
    </w:p>
    <w:p w14:paraId="6A3215AB">
      <w:pPr>
        <w:pStyle w:val="2"/>
        <w:spacing w:line="290" w:lineRule="auto"/>
      </w:pPr>
    </w:p>
    <w:p w14:paraId="4C9FE918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1A79D15B">
      <w:pPr>
        <w:pStyle w:val="2"/>
        <w:spacing w:line="341" w:lineRule="auto"/>
      </w:pPr>
    </w:p>
    <w:p w14:paraId="0885DF47">
      <w:pPr>
        <w:pStyle w:val="2"/>
        <w:spacing w:line="342" w:lineRule="auto"/>
      </w:pPr>
    </w:p>
    <w:p w14:paraId="6DF0EEB0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676A3FC8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78D9438B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1C11521C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7A2A85E4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31184789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7C8F23B0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3D6B8E06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4E05879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6951FE1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19E4A5F2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318CE5B6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52709AA0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4E7D4205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5BC0A644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5AE9436D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65AFAC9C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6DB92B5E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39C125B0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1AB91624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45BF3173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63540203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78917B2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A4288A0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2974800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1CB51EA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48463646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57383E0B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2DBDA3C7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7707005">
      <w:pPr>
        <w:pStyle w:val="2"/>
        <w:spacing w:line="328" w:lineRule="auto"/>
      </w:pPr>
    </w:p>
    <w:p w14:paraId="39B14690">
      <w:pPr>
        <w:pStyle w:val="2"/>
        <w:spacing w:line="328" w:lineRule="auto"/>
      </w:pPr>
    </w:p>
    <w:p w14:paraId="5F6E436B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43"/>
          <w:szCs w:val="43"/>
          <w:lang w:val="en-US" w:eastAsia="zh-CN" w:bidi="ar"/>
        </w:rPr>
        <w:t>第一部分</w:t>
      </w:r>
    </w:p>
    <w:p w14:paraId="0F50E93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43"/>
          <w:szCs w:val="43"/>
          <w:lang w:val="en-US" w:eastAsia="zh-CN" w:bidi="ar"/>
        </w:rPr>
        <w:t>部门概况</w:t>
      </w:r>
    </w:p>
    <w:p w14:paraId="67F1FA1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一、部门职责 </w:t>
      </w:r>
    </w:p>
    <w:p w14:paraId="1A069FE1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6"/>
          <w:szCs w:val="36"/>
          <w:lang w:val="en-US" w:eastAsia="zh-CN" w:bidi="ar"/>
        </w:rPr>
        <w:t>中共长春市南关区明珠街道工作委员会</w:t>
      </w:r>
    </w:p>
    <w:p w14:paraId="610668FD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6"/>
          <w:szCs w:val="36"/>
          <w:lang w:val="en-US" w:eastAsia="zh-CN" w:bidi="ar"/>
        </w:rPr>
        <w:t>长春市南关区明珠街道办事处</w:t>
      </w:r>
    </w:p>
    <w:p w14:paraId="1C686D0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6"/>
          <w:szCs w:val="36"/>
          <w:lang w:val="en-US" w:eastAsia="zh-CN" w:bidi="ar"/>
        </w:rPr>
        <w:t>职能配置机构设置和人员编制规定</w:t>
      </w:r>
    </w:p>
    <w:p w14:paraId="2A778EB6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6"/>
          <w:szCs w:val="36"/>
          <w:lang w:val="en-US" w:eastAsia="zh-CN" w:bidi="ar"/>
        </w:rPr>
      </w:pPr>
    </w:p>
    <w:p w14:paraId="3575CEAA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第一条根据《中共吉林省委办公厅吉林省人民政府办公 </w:t>
      </w:r>
    </w:p>
    <w:p w14:paraId="67B3CD1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厅印发&lt;关于深化乡镇街道机构改革推进基层整合审批服务 </w:t>
      </w:r>
    </w:p>
    <w:p w14:paraId="2450449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执法力量的实施意见&gt;的通知》(吉办发〔2019〕43 号)和《中共长春市委办公厅长春市人民政府办公厅关于印发&lt;长春市 </w:t>
      </w:r>
    </w:p>
    <w:p w14:paraId="0B424B0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南关区关于深化乡镇街道机构改革推进基层整合审批服务 </w:t>
      </w:r>
    </w:p>
    <w:p w14:paraId="1DC5190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执法力量的实施方案&gt;的通知》(长斤字〔2019〕18 号)精神， </w:t>
      </w:r>
    </w:p>
    <w:p w14:paraId="6E90F20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制定本规定。 </w:t>
      </w:r>
    </w:p>
    <w:p w14:paraId="42DD036B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第二条中共长春市南关区明珠街道工作委员会(以下简 </w:t>
      </w:r>
    </w:p>
    <w:p w14:paraId="1DF74EB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称明珠街道党工委)为区委派出机关，是辖区各种组织、区 </w:t>
      </w:r>
    </w:p>
    <w:p w14:paraId="70B1459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级部门延伸机构和各项工作的领导核心，全面领导辖区经 </w:t>
      </w:r>
    </w:p>
    <w:p w14:paraId="271DCA3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济、政治、文化、社会和生态文明建设，对辖区党的建设全面负责。长春市南关区明珠街道办事处(以下简称明珠街道 </w:t>
      </w:r>
    </w:p>
    <w:p w14:paraId="353FAD2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办事处)为区政府派出机关，根据辖区经济社会发展特点和 </w:t>
      </w:r>
    </w:p>
    <w:p w14:paraId="17E697D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资源禀赋，确定功能定位，加快职能转变步伐，依法履行相 </w:t>
      </w:r>
    </w:p>
    <w:p w14:paraId="21039E8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应政府服务和管理职责，推进区域发展。 </w:t>
      </w:r>
    </w:p>
    <w:p w14:paraId="66F0D581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第三条 明珠街道党工委、办事处的主要职责是: </w:t>
      </w:r>
    </w:p>
    <w:p w14:paraId="54A45A36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(一)宣传贯彻执行党的路线方针政策和国家法律法规， </w:t>
      </w:r>
    </w:p>
    <w:p w14:paraId="11D3D7D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落实上级党委、政府决策部署。 </w:t>
      </w:r>
    </w:p>
    <w:p w14:paraId="3B17AD79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(二)加强党的建设。落实基层党建工作责任制，坚持和 </w:t>
      </w:r>
    </w:p>
    <w:p w14:paraId="43BC084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完善党的全面领导，加强党的组织体系建设，不断增强党的 </w:t>
      </w:r>
    </w:p>
    <w:p w14:paraId="1EE179F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政治领导力、思想引领力、群众组织力和社会号召力。全面 </w:t>
      </w:r>
    </w:p>
    <w:p w14:paraId="5358C00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推进党的政治建设、思想建设、组织建设、作风建设、纪律 </w:t>
      </w:r>
    </w:p>
    <w:p w14:paraId="42C2C2E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建设，把制度建设贯穿其中，深入推进反腐败斗争。加强街 </w:t>
      </w:r>
    </w:p>
    <w:p w14:paraId="283ABB5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道党工委自身建设和社区党组织建设，以及其他隶属街道党 </w:t>
      </w:r>
    </w:p>
    <w:p w14:paraId="446F9E7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工委的党组织建设。统筹协调辖区内各领域党建工作，抓好 </w:t>
      </w:r>
    </w:p>
    <w:p w14:paraId="1463FFA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新领域新业态新群体党建，推进街道、社区党建与单位党建、 </w:t>
      </w:r>
    </w:p>
    <w:p w14:paraId="4285123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行业党建、区域化党建互联互动。加强基层意识形态、精神 </w:t>
      </w:r>
    </w:p>
    <w:p w14:paraId="011D15E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文明建设和统战(民族宗教)工作。 </w:t>
      </w:r>
    </w:p>
    <w:p w14:paraId="1DBE603B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(三)统筹区域发展。统筹落实辖区发展的重大决策和辖 </w:t>
      </w:r>
    </w:p>
    <w:p w14:paraId="5202429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区建设规划，强化对涉及本区域内人民群众利益的重大决 </w:t>
      </w:r>
    </w:p>
    <w:p w14:paraId="3D4D40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策、重大项目和公共服务设施布局的参与权和建议权，推动 </w:t>
      </w:r>
    </w:p>
    <w:p w14:paraId="6F5E73A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辖区健康、有序、可持续发展。推进产业升级、经济结构调 </w:t>
      </w:r>
    </w:p>
    <w:p w14:paraId="0589A9F7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0"/>
          <w:szCs w:val="20"/>
          <w:lang w:val="en-US" w:eastAsia="zh-CN" w:bidi="ar"/>
        </w:rPr>
        <w:t>5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整和经济增长方式转变，推动辖区经济发展。协同统计部门 </w:t>
      </w:r>
    </w:p>
    <w:p w14:paraId="4AD3C75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做好相关统计工作，统筹做好企业服务工作，营造良好营商 </w:t>
      </w:r>
    </w:p>
    <w:p w14:paraId="7F3B9D3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环境。做好人才服务和引进工作。承担扶贫相关工作。 </w:t>
      </w:r>
    </w:p>
    <w:p w14:paraId="0AFCF483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(四)组织公共服务。推进政府职能由“管理型”向“服 </w:t>
      </w:r>
    </w:p>
    <w:p w14:paraId="13D42D7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务型”转变，推进基本公共服务均等化，推动优质公共服务 </w:t>
      </w:r>
    </w:p>
    <w:p w14:paraId="370F068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资源向社区延伸。创新公共服务供给方式，加快建立政府主 </w:t>
      </w:r>
    </w:p>
    <w:p w14:paraId="08BC981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导、社会参与、公办民办并举的公共服务供给模式,加大政 </w:t>
      </w:r>
    </w:p>
    <w:p w14:paraId="07EBE22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府购买服务力度。组织实施与群众生活密切相关的公共服 </w:t>
      </w:r>
    </w:p>
    <w:p w14:paraId="2163BE3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务，落实人社、医保、民政、退役军人、教育、文化旅游、 </w:t>
      </w:r>
    </w:p>
    <w:p w14:paraId="36B92AC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体育、卫生健康、残联、红十字会等领域相关政策，做好民 </w:t>
      </w:r>
    </w:p>
    <w:p w14:paraId="7F1EDB5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生保障工作。 </w:t>
      </w:r>
    </w:p>
    <w:p w14:paraId="1E6A6A21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(五)实施综合管理。负责辖区公共事务综合管理，组织 </w:t>
      </w:r>
    </w:p>
    <w:p w14:paraId="64A8661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领导、推进实施、综合协调和监督检查辖区内城市管理、人 </w:t>
      </w:r>
    </w:p>
    <w:p w14:paraId="61B0A4D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口管理社会管理等综合性工作。加强对上级职能部门派驻工 </w:t>
      </w:r>
    </w:p>
    <w:p w14:paraId="13FAEF0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作力量的指挥调度和考核监督。负责综合执法、生态环境保 </w:t>
      </w:r>
    </w:p>
    <w:p w14:paraId="29F2212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护、市容和环境卫生管理工作，统筹辖区内自然资源管理、 </w:t>
      </w:r>
    </w:p>
    <w:p w14:paraId="5B9155A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市场监管相关工作。负责对辖区内物业服务企业的日常监 </w:t>
      </w:r>
    </w:p>
    <w:p w14:paraId="374237B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管，对辖区住宅小区开展综合管理。 </w:t>
      </w:r>
    </w:p>
    <w:p w14:paraId="140D61B6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(六)动员社会参与。坚持以基层党建引领基层治理，动 </w:t>
      </w:r>
    </w:p>
    <w:p w14:paraId="60659DB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员指导辖区内各类单位、社会组织和社区等社会力量参与社 </w:t>
      </w:r>
    </w:p>
    <w:p w14:paraId="41C651E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会治理，引导辖区单位履行社会责任，整合辖区内各种社会 </w:t>
      </w:r>
    </w:p>
    <w:p w14:paraId="1492B94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力量为街道、社区发展服务。做实做强由党建引领的基层共 </w:t>
      </w:r>
    </w:p>
    <w:p w14:paraId="61E7C8B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治基本单元，构建党组织统一领导、各类组织积极协同、广 </w:t>
      </w:r>
    </w:p>
    <w:p w14:paraId="1F91FDF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大群众广泛参与的基层治理体系。 </w:t>
      </w:r>
    </w:p>
    <w:p w14:paraId="09BE36B4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(七)领导基层自治。发挥社区党组织在基层群众自治组 </w:t>
      </w:r>
    </w:p>
    <w:p w14:paraId="075D35D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织建设中的领导核心作用，完善党领导下的基层社会治理体 </w:t>
      </w:r>
    </w:p>
    <w:p w14:paraId="463F36E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系，加强社会主义民主法治建设，做好组织群众、宣传群众、 </w:t>
      </w:r>
    </w:p>
    <w:p w14:paraId="6ECC8C0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凝聚群众、服务群众工作，发挥居民在基层社会治理中的主 </w:t>
      </w:r>
    </w:p>
    <w:p w14:paraId="02C63E1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体作用，提高自治整体水平。 </w:t>
      </w:r>
    </w:p>
    <w:p w14:paraId="2A6D0D0D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(八)维护安全稳定。负责辖区平安建设、综合治理、应 </w:t>
      </w:r>
    </w:p>
    <w:p w14:paraId="29FFE56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急管理、安全生产管理等工作。处理群众来信来访，反映社 </w:t>
      </w:r>
    </w:p>
    <w:p w14:paraId="0CDFD80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情民意，有效化解各类矛盾纠纷。 </w:t>
      </w:r>
    </w:p>
    <w:p w14:paraId="0DF45FC5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(九)深化“放管服”和“最多跑一次”改革。依托街道 </w:t>
      </w:r>
    </w:p>
    <w:p w14:paraId="136C4C8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便民服务平台，推进审批服务事项向便民服务中心集中，保 </w:t>
      </w:r>
    </w:p>
    <w:p w14:paraId="2EE5418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障便民服务中心的审批服务事项到位、权限到位。推进街道 </w:t>
      </w:r>
    </w:p>
    <w:p w14:paraId="5BC0D13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便民服务平台标准化建设，加快实现政务服务马上办、网上 </w:t>
      </w:r>
    </w:p>
    <w:p w14:paraId="46453ED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办、就近办、次办，提升政务服务质量。 </w:t>
      </w:r>
    </w:p>
    <w:p w14:paraId="47C8329A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(十)完成区委、区政府交办的其他任务。 </w:t>
      </w:r>
    </w:p>
    <w:p w14:paraId="065D603B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二、机构设置及部门决算单位构成 </w:t>
      </w:r>
    </w:p>
    <w:p w14:paraId="51E135F5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第四条 明珠街道党工委、办事处设下列综合性办事机 </w:t>
      </w:r>
    </w:p>
    <w:p w14:paraId="0DC0AD3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构: </w:t>
      </w:r>
    </w:p>
    <w:p w14:paraId="06A436DC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(一)综合办公室。负责机关日常运转，承担机关文电、 </w:t>
      </w:r>
    </w:p>
    <w:p w14:paraId="168CF28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会务、机要、保密、档案、检查督办、政务公开、公开电话、 </w:t>
      </w:r>
    </w:p>
    <w:p w14:paraId="6710879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信息化建设、节能减排、财务、审计、固定资产管理、后勤 </w:t>
      </w:r>
    </w:p>
    <w:p w14:paraId="2F54153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保障等工作。 </w:t>
      </w:r>
    </w:p>
    <w:p w14:paraId="539E0E97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(二)党建工作办公室。负责党的政治建设、组织建设和 </w:t>
      </w:r>
    </w:p>
    <w:p w14:paraId="40D1D66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宣传、意识形态、精神文明建设、统战(民族宗教)等工作。 </w:t>
      </w:r>
    </w:p>
    <w:p w14:paraId="6BCEBBD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统筹协调辖区内各领域党建工作，抓好新领域新业态新群体 </w:t>
      </w:r>
    </w:p>
    <w:p w14:paraId="0E6DB36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党建，推进街道、社区党建与单位党建、行业党建、区域化 </w:t>
      </w:r>
    </w:p>
    <w:p w14:paraId="238DDDE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党建互联互动。负责机关党务、干部队伍建设及干部人事、 </w:t>
      </w:r>
    </w:p>
    <w:p w14:paraId="31D5977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机构编制、老干部工作，协调管理派驻机构人员，落实街道 </w:t>
      </w:r>
    </w:p>
    <w:p w14:paraId="16FAFEE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对部门派出机构负责人人事考核权、选拔任用的征得同意权 </w:t>
      </w:r>
    </w:p>
    <w:p w14:paraId="6330927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和对驻街区单位创先争优、文明单位创建的审核建议权。负 </w:t>
      </w:r>
    </w:p>
    <w:p w14:paraId="472EFE9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责指导工会、共青团、妇联等群团工作。联络服务党代会代 </w:t>
      </w:r>
    </w:p>
    <w:p w14:paraId="6375D1A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表、人大代表和政协委员。统筹推进辖区人才工作。领导社 </w:t>
      </w:r>
    </w:p>
    <w:p w14:paraId="4FB980D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区自治工作，牵头负责党群服务平台工作。 </w:t>
      </w:r>
    </w:p>
    <w:p w14:paraId="46CEC351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(三)社会事务办公室，具体承担社会事务和公共服务等 </w:t>
      </w:r>
    </w:p>
    <w:p w14:paraId="23181BB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工作职责，落实人社、医保、民政、退役军人、教育、文化 </w:t>
      </w:r>
    </w:p>
    <w:p w14:paraId="7602893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旅游、体育、卫生健康、残联、红十字会等领域相关政策。 </w:t>
      </w:r>
    </w:p>
    <w:p w14:paraId="00F1C8C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承担扶贫相关工作。牵头推进“放管服”和“最多跑一次” </w:t>
      </w:r>
    </w:p>
    <w:p w14:paraId="103BD51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改革，统筹协调下放审批服务事项的承接工作。牵头负责便 </w:t>
      </w:r>
    </w:p>
    <w:p w14:paraId="4F8E61B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民服务平台工作。 </w:t>
      </w:r>
    </w:p>
    <w:p w14:paraId="3E904E5B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(四)平安建设办公室(应急管理办公室)负责平安建设 </w:t>
      </w:r>
    </w:p>
    <w:p w14:paraId="7E695F2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综合治理、维护稳定等工作。负责依法治街工作。协调开展 </w:t>
      </w:r>
    </w:p>
    <w:p w14:paraId="67E8729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邪教防范、法治宣传、社区戒毒、社区矫正、刑满释放人员 </w:t>
      </w:r>
    </w:p>
    <w:p w14:paraId="4962F07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安置帮教工作。指导督促辖区单位和居民落实消防、安全生 </w:t>
      </w:r>
    </w:p>
    <w:p w14:paraId="2070D0C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产、食品安全等工作。受理人民群众来信来访，反映社情民 </w:t>
      </w:r>
    </w:p>
    <w:p w14:paraId="09B37BE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意，调处化解矛盾纠纷。组织协调相关部门共同解决辖区内 </w:t>
      </w:r>
    </w:p>
    <w:p w14:paraId="23D96FB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的治安问题。负责辖区“多网合一”及网格建设管理工作。 </w:t>
      </w:r>
    </w:p>
    <w:p w14:paraId="32DF2A2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统筹辖区内城市、人口、社会等管理工作。负责应急体系建 </w:t>
      </w:r>
    </w:p>
    <w:p w14:paraId="35A9D74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设、应急响应和防灾减灾救灾相关工作。牵头负责社会治安 </w:t>
      </w:r>
    </w:p>
    <w:p w14:paraId="6E0947E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综合治理平台工作。 </w:t>
      </w:r>
    </w:p>
    <w:p w14:paraId="49813B43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(五)企业服务办公室。统筹协调辖区企业及其他市场主 </w:t>
      </w:r>
    </w:p>
    <w:p w14:paraId="3F2EFD7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体联系服务工作，营造良好营商环境。承担辖区内工业、商 </w:t>
      </w:r>
    </w:p>
    <w:p w14:paraId="11F8478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贸、科技、统计等方面相关工作。 </w:t>
      </w:r>
    </w:p>
    <w:p w14:paraId="05D73340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(六)综合行政执法办公室。负责统筹协调组织指挥辖区 </w:t>
      </w:r>
    </w:p>
    <w:p w14:paraId="44CFE7F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内派驻和基层执法力量实行联合执法，代表街道办事处履行 </w:t>
      </w:r>
    </w:p>
    <w:p w14:paraId="096FEB6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规定范围内的行政执法职责。落实对上级职能部门派驻工作 </w:t>
      </w:r>
    </w:p>
    <w:p w14:paraId="2D1F5EB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力量的指挥调度和考核监督权。牵头负责综合行政执法平台 </w:t>
      </w:r>
    </w:p>
    <w:p w14:paraId="5276738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工作。 </w:t>
      </w:r>
    </w:p>
    <w:p w14:paraId="13F377CA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(七)城市建设管理办公室。统筹落实辖区发展的重大决 </w:t>
      </w:r>
    </w:p>
    <w:p w14:paraId="47FBE3E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策和辖区建设规划，强化对涉及本区域内人民群众利益的重 </w:t>
      </w:r>
    </w:p>
    <w:p w14:paraId="07FCEB0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大决策、重大项目和公共服务设施布局的参与权和建议权， </w:t>
      </w:r>
    </w:p>
    <w:p w14:paraId="792067B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推动辖区健康、有序、可持续发展。落实住房和城乡建设、 </w:t>
      </w:r>
    </w:p>
    <w:p w14:paraId="40BAED91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0"/>
          <w:szCs w:val="20"/>
          <w:lang w:val="en-US" w:eastAsia="zh-CN" w:bidi="ar"/>
        </w:rPr>
        <w:t>9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生态环境保护、园林绿化、道路交通、人民防空、市容和环 </w:t>
      </w:r>
    </w:p>
    <w:p w14:paraId="04F18E3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境卫生管理等工作。负责基础设施养护和管理、防违控违拆 </w:t>
      </w:r>
    </w:p>
    <w:p w14:paraId="113E99A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违等工作。承担相关开发建设项目的征地拆迁和安置工作。 </w:t>
      </w:r>
    </w:p>
    <w:p w14:paraId="437387D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负责对辖区内物业服务企业的日常监管，对辖区住宅小区开 </w:t>
      </w:r>
    </w:p>
    <w:p w14:paraId="583A597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展综合管理。按职责分工承担辖区内防汛抗旱等基础性工 </w:t>
      </w:r>
    </w:p>
    <w:p w14:paraId="5DD41D6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作。街道人大、纪检(监察)、人武、工会、共青团、妇联等组织按有关规定设置并开展工作。 </w:t>
      </w:r>
    </w:p>
    <w:p w14:paraId="317E5D79">
      <w:pPr>
        <w:keepNext w:val="0"/>
        <w:keepLines w:val="0"/>
        <w:widowControl/>
        <w:suppressLineNumbers w:val="0"/>
        <w:ind w:firstLine="620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第五条明珠街道机关行政编制 28名。设党工委书记 1 </w:t>
      </w:r>
    </w:p>
    <w:p w14:paraId="6E39E817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名(正处长级)，人大工委主任 1 名(正处长级)，党工委副书 </w:t>
      </w:r>
    </w:p>
    <w:p w14:paraId="3BA58A1D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记、办事处主任 1 名(正处长级);党工委副书记 1 名(副处长级)，纪工委书记、监察室主任 1 名(副处长级)，办事处副主任 3 名(副处长级，其中 1 名兼任街道综合服务中心主任)。按有关规定设武装部长 1 名。科级领导职数 8 名(8 正，其中含纪工委副书记、监察室副主任 1 名)机关工勤事业编制按实有人数暂保留 1 名，退一收一，逐步消化。 </w:t>
      </w:r>
    </w:p>
    <w:p w14:paraId="061D38B0">
      <w:pPr>
        <w:keepNext w:val="0"/>
        <w:keepLines w:val="0"/>
        <w:widowControl/>
        <w:suppressLineNumbers w:val="0"/>
        <w:ind w:firstLine="620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第六条明珠街道党工委、办事处所属事业单位的设置、 </w:t>
      </w:r>
    </w:p>
    <w:p w14:paraId="527ABD7B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职责和编制事项另行规定。 </w:t>
      </w:r>
    </w:p>
    <w:p w14:paraId="6840024F">
      <w:pPr>
        <w:keepNext w:val="0"/>
        <w:keepLines w:val="0"/>
        <w:widowControl/>
        <w:suppressLineNumbers w:val="0"/>
        <w:ind w:firstLine="620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第七条 本规定由中共长春市南关区委负责解释，具体 </w:t>
      </w:r>
    </w:p>
    <w:p w14:paraId="03BF4B43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解释工作由中共长春市南关区委机构编制委员会办公室承 </w:t>
      </w:r>
    </w:p>
    <w:p w14:paraId="2ACEF277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担，其调整由中共长春市南关区委机构编制委员会办公室按 </w:t>
      </w:r>
    </w:p>
    <w:p w14:paraId="06B25794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规定程序办理。 </w:t>
      </w:r>
    </w:p>
    <w:p w14:paraId="538C0B19">
      <w:pPr>
        <w:keepNext w:val="0"/>
        <w:keepLines w:val="0"/>
        <w:widowControl/>
        <w:suppressLineNumbers w:val="0"/>
        <w:ind w:firstLine="620" w:firstLineChars="20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第八条本规定自 2020 年 4 月 13 日起施行。 </w:t>
      </w:r>
    </w:p>
    <w:p w14:paraId="10B541A2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根据上述职责，长春市南关区明珠街道内设 7 个机构， </w:t>
      </w:r>
    </w:p>
    <w:p w14:paraId="302794AD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分别为综合办公室、党建工作办公室、社会事务办公室、平 </w:t>
      </w:r>
    </w:p>
    <w:p w14:paraId="288F6A5F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安建设办公室、企业服务办公室、综合行政执法办公室、城 </w:t>
      </w:r>
    </w:p>
    <w:p w14:paraId="77E3AF08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市建设管理办公室纳入长春市南关区明珠街道 2023年度部 </w:t>
      </w:r>
    </w:p>
    <w:p w14:paraId="1AD7CAAF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 xml:space="preserve">门决算编制范围的单位包括：长春市南关区明珠街道办事处 </w:t>
      </w:r>
    </w:p>
    <w:p w14:paraId="3E4E4E00">
      <w:pPr>
        <w:keepNext w:val="0"/>
        <w:keepLines w:val="0"/>
        <w:widowControl/>
        <w:suppressLineNumbers w:val="0"/>
        <w:jc w:val="left"/>
        <w:rPr>
          <w:color w:val="auto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31"/>
          <w:szCs w:val="31"/>
          <w:lang w:val="en-US" w:eastAsia="zh-CN" w:bidi="ar"/>
        </w:rPr>
        <w:t>本级</w:t>
      </w:r>
    </w:p>
    <w:p w14:paraId="50252182">
      <w:pPr>
        <w:pStyle w:val="2"/>
        <w:spacing w:line="446" w:lineRule="auto"/>
        <w:rPr>
          <w:color w:val="auto"/>
        </w:rPr>
      </w:pPr>
    </w:p>
    <w:p w14:paraId="18DECCFE">
      <w:pPr>
        <w:pStyle w:val="2"/>
        <w:spacing w:line="328" w:lineRule="auto"/>
        <w:rPr>
          <w:color w:val="auto"/>
        </w:rPr>
      </w:pPr>
    </w:p>
    <w:p w14:paraId="3B544612">
      <w:pPr>
        <w:pStyle w:val="2"/>
        <w:spacing w:line="328" w:lineRule="auto"/>
        <w:rPr>
          <w:color w:val="auto"/>
        </w:rPr>
      </w:pPr>
    </w:p>
    <w:p w14:paraId="592578E6">
      <w:pPr>
        <w:pStyle w:val="2"/>
        <w:spacing w:line="328" w:lineRule="auto"/>
        <w:rPr>
          <w:color w:val="auto"/>
        </w:rPr>
      </w:pPr>
    </w:p>
    <w:p w14:paraId="5D77F209">
      <w:pPr>
        <w:pStyle w:val="2"/>
        <w:spacing w:line="328" w:lineRule="auto"/>
        <w:rPr>
          <w:color w:val="auto"/>
        </w:rPr>
      </w:pPr>
    </w:p>
    <w:p w14:paraId="7D94D7B4">
      <w:pPr>
        <w:pStyle w:val="2"/>
        <w:spacing w:line="328" w:lineRule="auto"/>
        <w:rPr>
          <w:color w:val="auto"/>
        </w:rPr>
      </w:pPr>
    </w:p>
    <w:p w14:paraId="4D3511EE">
      <w:pPr>
        <w:pStyle w:val="2"/>
        <w:spacing w:line="328" w:lineRule="auto"/>
        <w:rPr>
          <w:color w:val="auto"/>
        </w:rPr>
      </w:pPr>
    </w:p>
    <w:p w14:paraId="04017B21">
      <w:pPr>
        <w:pStyle w:val="2"/>
        <w:spacing w:line="328" w:lineRule="auto"/>
        <w:rPr>
          <w:color w:val="auto"/>
        </w:rPr>
      </w:pPr>
    </w:p>
    <w:p w14:paraId="4660E4B2">
      <w:pPr>
        <w:pStyle w:val="2"/>
        <w:spacing w:line="328" w:lineRule="auto"/>
        <w:rPr>
          <w:color w:val="auto"/>
        </w:rPr>
      </w:pPr>
    </w:p>
    <w:p w14:paraId="259BE4E2">
      <w:pPr>
        <w:pStyle w:val="2"/>
        <w:spacing w:line="328" w:lineRule="auto"/>
        <w:rPr>
          <w:color w:val="auto"/>
        </w:rPr>
      </w:pPr>
    </w:p>
    <w:p w14:paraId="6ACE96DF">
      <w:pPr>
        <w:pStyle w:val="2"/>
        <w:spacing w:line="328" w:lineRule="auto"/>
        <w:rPr>
          <w:color w:val="auto"/>
        </w:rPr>
      </w:pPr>
    </w:p>
    <w:p w14:paraId="54A70729">
      <w:pPr>
        <w:pStyle w:val="2"/>
        <w:spacing w:line="328" w:lineRule="auto"/>
        <w:rPr>
          <w:color w:val="auto"/>
        </w:rPr>
      </w:pPr>
    </w:p>
    <w:p w14:paraId="763C1FD0">
      <w:pPr>
        <w:pStyle w:val="2"/>
        <w:spacing w:line="328" w:lineRule="auto"/>
        <w:rPr>
          <w:color w:val="auto"/>
        </w:rPr>
      </w:pPr>
    </w:p>
    <w:p w14:paraId="02E61574">
      <w:pPr>
        <w:pStyle w:val="2"/>
        <w:spacing w:line="328" w:lineRule="auto"/>
        <w:rPr>
          <w:color w:val="auto"/>
        </w:rPr>
      </w:pPr>
    </w:p>
    <w:p w14:paraId="6E2E1E6E">
      <w:pPr>
        <w:pStyle w:val="2"/>
        <w:spacing w:line="328" w:lineRule="auto"/>
        <w:rPr>
          <w:color w:val="auto"/>
        </w:rPr>
      </w:pPr>
    </w:p>
    <w:p w14:paraId="1E17829F">
      <w:pPr>
        <w:pStyle w:val="2"/>
        <w:spacing w:line="328" w:lineRule="auto"/>
        <w:rPr>
          <w:color w:val="auto"/>
        </w:rPr>
      </w:pPr>
    </w:p>
    <w:p w14:paraId="171265BE">
      <w:pPr>
        <w:pStyle w:val="2"/>
        <w:spacing w:line="328" w:lineRule="auto"/>
        <w:rPr>
          <w:color w:val="auto"/>
        </w:rPr>
      </w:pPr>
    </w:p>
    <w:p w14:paraId="71D44AC2">
      <w:pPr>
        <w:pStyle w:val="2"/>
        <w:spacing w:line="328" w:lineRule="auto"/>
        <w:rPr>
          <w:color w:val="auto"/>
        </w:rPr>
      </w:pPr>
    </w:p>
    <w:p w14:paraId="3A52A025">
      <w:pPr>
        <w:pStyle w:val="2"/>
        <w:spacing w:line="328" w:lineRule="auto"/>
        <w:rPr>
          <w:color w:val="auto"/>
        </w:rPr>
      </w:pPr>
    </w:p>
    <w:p w14:paraId="315AF9EB">
      <w:pPr>
        <w:pStyle w:val="2"/>
        <w:spacing w:line="328" w:lineRule="auto"/>
        <w:rPr>
          <w:color w:val="auto"/>
        </w:rPr>
      </w:pPr>
    </w:p>
    <w:p w14:paraId="72CD064B">
      <w:pPr>
        <w:pStyle w:val="2"/>
        <w:spacing w:line="328" w:lineRule="auto"/>
        <w:rPr>
          <w:color w:val="auto"/>
        </w:rPr>
      </w:pPr>
    </w:p>
    <w:p w14:paraId="3BEE91AC">
      <w:pPr>
        <w:pStyle w:val="2"/>
        <w:spacing w:line="328" w:lineRule="auto"/>
        <w:rPr>
          <w:color w:val="auto"/>
        </w:rPr>
      </w:pPr>
    </w:p>
    <w:p w14:paraId="2B35F442">
      <w:pPr>
        <w:pStyle w:val="2"/>
        <w:spacing w:line="328" w:lineRule="auto"/>
        <w:rPr>
          <w:color w:val="auto"/>
        </w:rPr>
      </w:pPr>
    </w:p>
    <w:p w14:paraId="0E2B3C46">
      <w:pPr>
        <w:pStyle w:val="2"/>
        <w:spacing w:line="328" w:lineRule="auto"/>
      </w:pPr>
    </w:p>
    <w:p w14:paraId="18ABF8B3">
      <w:pPr>
        <w:numPr>
          <w:ilvl w:val="0"/>
          <w:numId w:val="1"/>
        </w:numPr>
        <w:spacing w:before="189" w:line="186" w:lineRule="auto"/>
        <w:ind w:left="11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6CEF1667">
      <w:pPr>
        <w:spacing w:before="10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一、收入支出决算总表</w:t>
      </w:r>
    </w:p>
    <w:p w14:paraId="77837B0B">
      <w:pPr>
        <w:numPr>
          <w:ilvl w:val="0"/>
          <w:numId w:val="0"/>
        </w:numPr>
        <w:spacing w:before="189" w:line="186" w:lineRule="auto"/>
        <w:rPr>
          <w:rFonts w:ascii="微软雅黑" w:hAnsi="微软雅黑" w:eastAsia="微软雅黑" w:cs="微软雅黑"/>
          <w:sz w:val="44"/>
          <w:szCs w:val="44"/>
        </w:rPr>
      </w:pPr>
    </w:p>
    <w:p w14:paraId="0909B638">
      <w:pPr>
        <w:pStyle w:val="2"/>
        <w:spacing w:line="268" w:lineRule="auto"/>
      </w:pPr>
      <w:r>
        <w:drawing>
          <wp:inline distT="0" distB="0" distL="114300" distR="114300">
            <wp:extent cx="5659755" cy="5161280"/>
            <wp:effectExtent l="0" t="0" r="1714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59755" cy="516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4F76F">
      <w:pPr>
        <w:pStyle w:val="2"/>
        <w:spacing w:line="268" w:lineRule="auto"/>
      </w:pPr>
    </w:p>
    <w:p w14:paraId="249825A3">
      <w:pPr>
        <w:pStyle w:val="2"/>
        <w:spacing w:line="268" w:lineRule="auto"/>
      </w:pPr>
    </w:p>
    <w:p w14:paraId="1E1FC4B3">
      <w:pPr>
        <w:pStyle w:val="2"/>
        <w:spacing w:line="337" w:lineRule="auto"/>
      </w:pPr>
    </w:p>
    <w:p w14:paraId="29FB94B5">
      <w:pPr>
        <w:pStyle w:val="2"/>
        <w:spacing w:line="338" w:lineRule="auto"/>
      </w:pPr>
    </w:p>
    <w:p w14:paraId="7FC11D7E">
      <w:pPr>
        <w:pStyle w:val="2"/>
        <w:spacing w:line="339" w:lineRule="auto"/>
      </w:pPr>
    </w:p>
    <w:p w14:paraId="6165ACA9">
      <w:pPr>
        <w:pStyle w:val="2"/>
        <w:spacing w:line="340" w:lineRule="auto"/>
      </w:pPr>
    </w:p>
    <w:p w14:paraId="3F3F65F1">
      <w:pPr>
        <w:spacing w:before="101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</w:p>
    <w:p w14:paraId="32580554">
      <w:pPr>
        <w:spacing w:before="101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</w:p>
    <w:p w14:paraId="099E0723">
      <w:pPr>
        <w:spacing w:before="101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</w:p>
    <w:p w14:paraId="0836D847">
      <w:pPr>
        <w:spacing w:before="101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</w:p>
    <w:p w14:paraId="7D4B4BA3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二、收入决算表</w:t>
      </w:r>
    </w:p>
    <w:p w14:paraId="460B96FE">
      <w:pPr>
        <w:pStyle w:val="2"/>
        <w:spacing w:line="261" w:lineRule="auto"/>
      </w:pPr>
    </w:p>
    <w:p w14:paraId="69BAF173">
      <w:pPr>
        <w:pStyle w:val="2"/>
        <w:spacing w:line="261" w:lineRule="auto"/>
      </w:pPr>
    </w:p>
    <w:p w14:paraId="5042507F">
      <w:pPr>
        <w:pStyle w:val="2"/>
        <w:spacing w:line="262" w:lineRule="auto"/>
      </w:pPr>
      <w:r>
        <w:drawing>
          <wp:inline distT="0" distB="0" distL="114300" distR="114300">
            <wp:extent cx="5592445" cy="476758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92445" cy="476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6ABB1">
      <w:pPr>
        <w:pStyle w:val="2"/>
        <w:spacing w:line="339" w:lineRule="auto"/>
      </w:pPr>
    </w:p>
    <w:p w14:paraId="0C362A41">
      <w:pPr>
        <w:pStyle w:val="2"/>
        <w:spacing w:line="339" w:lineRule="auto"/>
      </w:pPr>
    </w:p>
    <w:p w14:paraId="05853AF0">
      <w:pPr>
        <w:pStyle w:val="2"/>
        <w:spacing w:line="339" w:lineRule="auto"/>
      </w:pPr>
    </w:p>
    <w:p w14:paraId="3B530724">
      <w:pPr>
        <w:pStyle w:val="2"/>
        <w:spacing w:line="339" w:lineRule="auto"/>
      </w:pPr>
    </w:p>
    <w:p w14:paraId="4C421219">
      <w:pPr>
        <w:pStyle w:val="2"/>
        <w:spacing w:line="339" w:lineRule="auto"/>
      </w:pPr>
    </w:p>
    <w:p w14:paraId="6BEE46EC">
      <w:pPr>
        <w:pStyle w:val="2"/>
        <w:spacing w:line="339" w:lineRule="auto"/>
      </w:pPr>
    </w:p>
    <w:p w14:paraId="1A891CC2">
      <w:pPr>
        <w:pStyle w:val="2"/>
        <w:spacing w:line="339" w:lineRule="auto"/>
      </w:pPr>
    </w:p>
    <w:p w14:paraId="6FA74A0E">
      <w:pPr>
        <w:pStyle w:val="2"/>
        <w:spacing w:line="339" w:lineRule="auto"/>
      </w:pPr>
    </w:p>
    <w:p w14:paraId="12E0A651">
      <w:pPr>
        <w:pStyle w:val="2"/>
        <w:spacing w:line="339" w:lineRule="auto"/>
      </w:pPr>
    </w:p>
    <w:p w14:paraId="5AF8F0D5">
      <w:pPr>
        <w:pStyle w:val="2"/>
        <w:spacing w:line="339" w:lineRule="auto"/>
      </w:pPr>
    </w:p>
    <w:p w14:paraId="0D828CEC">
      <w:pPr>
        <w:pStyle w:val="2"/>
        <w:spacing w:line="339" w:lineRule="auto"/>
      </w:pPr>
    </w:p>
    <w:p w14:paraId="1ED69CC0">
      <w:pPr>
        <w:pStyle w:val="2"/>
        <w:spacing w:line="339" w:lineRule="auto"/>
      </w:pPr>
    </w:p>
    <w:p w14:paraId="69E236A5">
      <w:pPr>
        <w:pStyle w:val="2"/>
        <w:spacing w:line="339" w:lineRule="auto"/>
      </w:pPr>
    </w:p>
    <w:p w14:paraId="029DB538">
      <w:pPr>
        <w:pStyle w:val="2"/>
        <w:spacing w:line="339" w:lineRule="auto"/>
      </w:pPr>
    </w:p>
    <w:p w14:paraId="28E129FC">
      <w:pPr>
        <w:pStyle w:val="2"/>
        <w:spacing w:line="339" w:lineRule="auto"/>
      </w:pPr>
    </w:p>
    <w:p w14:paraId="0BCD1AC4">
      <w:pPr>
        <w:pStyle w:val="2"/>
        <w:spacing w:line="339" w:lineRule="auto"/>
      </w:pPr>
    </w:p>
    <w:p w14:paraId="4CD17F64">
      <w:pPr>
        <w:pStyle w:val="2"/>
        <w:spacing w:line="339" w:lineRule="auto"/>
      </w:pPr>
    </w:p>
    <w:p w14:paraId="4B87A9D2">
      <w:pPr>
        <w:pStyle w:val="2"/>
        <w:spacing w:line="339" w:lineRule="auto"/>
      </w:pPr>
    </w:p>
    <w:p w14:paraId="60D9DAFA">
      <w:pPr>
        <w:pStyle w:val="2"/>
        <w:spacing w:line="339" w:lineRule="auto"/>
      </w:pPr>
    </w:p>
    <w:p w14:paraId="2FBC83E6">
      <w:pPr>
        <w:numPr>
          <w:ilvl w:val="0"/>
          <w:numId w:val="2"/>
        </w:numPr>
        <w:spacing w:before="101" w:line="224" w:lineRule="auto"/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  <w:r>
        <w:drawing>
          <wp:inline distT="0" distB="0" distL="114300" distR="114300">
            <wp:extent cx="5728335" cy="5807075"/>
            <wp:effectExtent l="0" t="0" r="571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8335" cy="580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FDBC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10C371F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4FC8C44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6AB6B02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1882A061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1140BD93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6E39C64C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328AAE19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20FD311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29A9CA4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12321357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018AD85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</w:pPr>
    </w:p>
    <w:p w14:paraId="7BC6C8A2">
      <w:pPr>
        <w:pStyle w:val="2"/>
        <w:spacing w:line="340" w:lineRule="auto"/>
      </w:pPr>
    </w:p>
    <w:p w14:paraId="1E133044">
      <w:pPr>
        <w:numPr>
          <w:ilvl w:val="0"/>
          <w:numId w:val="2"/>
        </w:numPr>
        <w:spacing w:before="101" w:line="224" w:lineRule="auto"/>
        <w:ind w:left="0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2FDF660F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6AEF4AFA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67336CA8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5870575" cy="5041265"/>
            <wp:effectExtent l="0" t="0" r="1587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70575" cy="504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85A8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0AFA2104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5DE263F6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5D47950B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539766A7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774EE5F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6BD814E5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224" w:lineRule="auto"/>
        <w:jc w:val="left"/>
        <w:textAlignment w:val="baseline"/>
        <w:rPr>
          <w:rFonts w:ascii="黑体" w:hAnsi="黑体" w:eastAsia="黑体" w:cs="黑体"/>
          <w:spacing w:val="7"/>
          <w:sz w:val="31"/>
          <w:szCs w:val="31"/>
        </w:rPr>
      </w:pPr>
    </w:p>
    <w:p w14:paraId="673006AB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134973C">
      <w:pPr>
        <w:pStyle w:val="2"/>
        <w:spacing w:line="339" w:lineRule="auto"/>
      </w:pPr>
    </w:p>
    <w:p w14:paraId="6582BBCA">
      <w:pPr>
        <w:pStyle w:val="2"/>
        <w:spacing w:line="339" w:lineRule="auto"/>
      </w:pPr>
    </w:p>
    <w:p w14:paraId="77965129">
      <w:pPr>
        <w:numPr>
          <w:ilvl w:val="0"/>
          <w:numId w:val="2"/>
        </w:numPr>
        <w:spacing w:before="100" w:line="224" w:lineRule="auto"/>
        <w:ind w:left="0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02A1BCE6">
      <w:pPr>
        <w:numPr>
          <w:ilvl w:val="0"/>
          <w:numId w:val="0"/>
        </w:numPr>
        <w:spacing w:before="100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5CD8A18E">
      <w:pPr>
        <w:numPr>
          <w:ilvl w:val="0"/>
          <w:numId w:val="0"/>
        </w:numPr>
        <w:spacing w:before="100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5709920" cy="5429250"/>
            <wp:effectExtent l="0" t="0" r="508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0992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5EBF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66F7524C">
      <w:pPr>
        <w:pStyle w:val="2"/>
        <w:spacing w:line="268" w:lineRule="auto"/>
      </w:pPr>
    </w:p>
    <w:p w14:paraId="4940372E">
      <w:pPr>
        <w:pStyle w:val="2"/>
        <w:spacing w:line="268" w:lineRule="auto"/>
      </w:pPr>
    </w:p>
    <w:p w14:paraId="278BCA86">
      <w:pPr>
        <w:pStyle w:val="2"/>
        <w:spacing w:line="268" w:lineRule="auto"/>
      </w:pPr>
    </w:p>
    <w:p w14:paraId="78387470">
      <w:pPr>
        <w:pStyle w:val="2"/>
        <w:spacing w:line="268" w:lineRule="auto"/>
      </w:pPr>
    </w:p>
    <w:p w14:paraId="07DF414B">
      <w:pPr>
        <w:pStyle w:val="2"/>
        <w:spacing w:line="268" w:lineRule="auto"/>
      </w:pPr>
    </w:p>
    <w:p w14:paraId="1FF01E1B">
      <w:pPr>
        <w:pStyle w:val="2"/>
        <w:spacing w:line="268" w:lineRule="auto"/>
      </w:pPr>
    </w:p>
    <w:p w14:paraId="2EC53B2A">
      <w:pPr>
        <w:pStyle w:val="2"/>
        <w:spacing w:line="268" w:lineRule="auto"/>
      </w:pPr>
    </w:p>
    <w:p w14:paraId="40F9A54A">
      <w:pPr>
        <w:pStyle w:val="2"/>
        <w:spacing w:line="268" w:lineRule="auto"/>
      </w:pPr>
    </w:p>
    <w:p w14:paraId="7161F714">
      <w:pPr>
        <w:pStyle w:val="2"/>
        <w:spacing w:line="268" w:lineRule="auto"/>
      </w:pPr>
    </w:p>
    <w:p w14:paraId="3DDB42D0">
      <w:pPr>
        <w:pStyle w:val="2"/>
        <w:spacing w:line="268" w:lineRule="auto"/>
      </w:pPr>
    </w:p>
    <w:p w14:paraId="7545D691">
      <w:pPr>
        <w:pStyle w:val="2"/>
        <w:spacing w:line="268" w:lineRule="auto"/>
      </w:pPr>
    </w:p>
    <w:p w14:paraId="582D41A5">
      <w:pPr>
        <w:pStyle w:val="2"/>
        <w:spacing w:line="268" w:lineRule="auto"/>
      </w:pPr>
    </w:p>
    <w:p w14:paraId="60FB504D">
      <w:pPr>
        <w:pStyle w:val="2"/>
        <w:spacing w:line="268" w:lineRule="auto"/>
      </w:pPr>
    </w:p>
    <w:p w14:paraId="1F954EB2">
      <w:pPr>
        <w:pStyle w:val="2"/>
        <w:spacing w:line="268" w:lineRule="auto"/>
      </w:pPr>
    </w:p>
    <w:p w14:paraId="716F8388">
      <w:pPr>
        <w:pStyle w:val="2"/>
        <w:spacing w:line="339" w:lineRule="auto"/>
      </w:pPr>
    </w:p>
    <w:p w14:paraId="2135CF6E">
      <w:pPr>
        <w:numPr>
          <w:ilvl w:val="0"/>
          <w:numId w:val="2"/>
        </w:numPr>
        <w:spacing w:before="100" w:line="224" w:lineRule="auto"/>
        <w:ind w:left="0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一般公共预算财政拨款基本支出决算明细表</w:t>
      </w:r>
    </w:p>
    <w:p w14:paraId="0BD4429F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0A5DBA9A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771C6142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762C9DE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5645150" cy="4897755"/>
            <wp:effectExtent l="0" t="0" r="12700" b="171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45150" cy="489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43E89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116F790E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32642A9B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7607389F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17BC31C8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214AC425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0" w:line="224" w:lineRule="auto"/>
        <w:jc w:val="left"/>
        <w:textAlignment w:val="baseline"/>
        <w:rPr>
          <w:rFonts w:ascii="黑体" w:hAnsi="黑体" w:eastAsia="黑体" w:cs="黑体"/>
          <w:spacing w:val="8"/>
          <w:sz w:val="31"/>
          <w:szCs w:val="31"/>
        </w:rPr>
      </w:pPr>
    </w:p>
    <w:p w14:paraId="267E68EC">
      <w:pPr>
        <w:pStyle w:val="2"/>
        <w:spacing w:line="339" w:lineRule="auto"/>
      </w:pPr>
    </w:p>
    <w:p w14:paraId="78DBCB00">
      <w:pPr>
        <w:pStyle w:val="2"/>
        <w:spacing w:line="340" w:lineRule="auto"/>
      </w:pPr>
    </w:p>
    <w:p w14:paraId="045AE6E4">
      <w:pPr>
        <w:numPr>
          <w:ilvl w:val="0"/>
          <w:numId w:val="2"/>
        </w:numPr>
        <w:spacing w:before="101" w:line="224" w:lineRule="auto"/>
        <w:ind w:left="0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政府性基金预算财政拨款收入支出决算表</w:t>
      </w:r>
    </w:p>
    <w:p w14:paraId="3E2E8618">
      <w:pPr>
        <w:numPr>
          <w:ilvl w:val="0"/>
          <w:numId w:val="0"/>
        </w:numPr>
        <w:spacing w:before="101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48B9189A">
      <w:pPr>
        <w:numPr>
          <w:ilvl w:val="0"/>
          <w:numId w:val="0"/>
        </w:numPr>
        <w:spacing w:before="101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0E48E2BC">
      <w:pPr>
        <w:numPr>
          <w:ilvl w:val="0"/>
          <w:numId w:val="0"/>
        </w:numPr>
        <w:spacing w:before="101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273CACAA">
      <w:pPr>
        <w:numPr>
          <w:ilvl w:val="0"/>
          <w:numId w:val="0"/>
        </w:numPr>
        <w:spacing w:before="101" w:line="224" w:lineRule="auto"/>
        <w:ind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113EE982">
      <w:pPr>
        <w:spacing w:before="235" w:line="4714" w:lineRule="exact"/>
        <w:ind w:firstLine="240"/>
      </w:pPr>
      <w:r>
        <w:drawing>
          <wp:inline distT="0" distB="0" distL="114300" distR="114300">
            <wp:extent cx="5920740" cy="2498725"/>
            <wp:effectExtent l="0" t="0" r="3810" b="158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08AD7">
      <w:pPr>
        <w:spacing w:before="235" w:line="4714" w:lineRule="exact"/>
        <w:ind w:firstLine="240"/>
      </w:pPr>
    </w:p>
    <w:p w14:paraId="7E1581FB">
      <w:pPr>
        <w:spacing w:before="235" w:line="4714" w:lineRule="exac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08644FC3">
      <w:pPr>
        <w:spacing w:before="182" w:line="4817" w:lineRule="exact"/>
        <w:ind w:firstLine="28"/>
      </w:pPr>
      <w:r>
        <w:drawing>
          <wp:inline distT="0" distB="0" distL="114300" distR="114300">
            <wp:extent cx="5289550" cy="2960370"/>
            <wp:effectExtent l="0" t="0" r="6350" b="1143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29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DACC9">
      <w:pPr>
        <w:pStyle w:val="2"/>
        <w:spacing w:line="253" w:lineRule="auto"/>
      </w:pPr>
    </w:p>
    <w:p w14:paraId="79616F82">
      <w:pPr>
        <w:pStyle w:val="2"/>
        <w:spacing w:line="253" w:lineRule="auto"/>
      </w:pPr>
    </w:p>
    <w:p w14:paraId="21A7B17B">
      <w:pPr>
        <w:pStyle w:val="2"/>
        <w:spacing w:line="253" w:lineRule="auto"/>
      </w:pPr>
    </w:p>
    <w:p w14:paraId="0C969F9F">
      <w:pPr>
        <w:pStyle w:val="2"/>
        <w:spacing w:line="339" w:lineRule="auto"/>
      </w:pPr>
    </w:p>
    <w:p w14:paraId="434A86DD">
      <w:pPr>
        <w:pStyle w:val="2"/>
        <w:spacing w:line="339" w:lineRule="auto"/>
      </w:pPr>
    </w:p>
    <w:p w14:paraId="77A54B4A">
      <w:pPr>
        <w:pStyle w:val="2"/>
        <w:spacing w:line="339" w:lineRule="auto"/>
      </w:pPr>
    </w:p>
    <w:p w14:paraId="15451F72">
      <w:pPr>
        <w:pStyle w:val="2"/>
        <w:spacing w:line="339" w:lineRule="auto"/>
      </w:pPr>
    </w:p>
    <w:p w14:paraId="2A61D782">
      <w:pPr>
        <w:pStyle w:val="2"/>
        <w:spacing w:line="339" w:lineRule="auto"/>
      </w:pPr>
    </w:p>
    <w:p w14:paraId="6EDFE25D">
      <w:pPr>
        <w:pStyle w:val="2"/>
        <w:spacing w:line="339" w:lineRule="auto"/>
      </w:pPr>
    </w:p>
    <w:p w14:paraId="595C2FD5">
      <w:pPr>
        <w:pStyle w:val="2"/>
        <w:spacing w:line="339" w:lineRule="auto"/>
      </w:pPr>
    </w:p>
    <w:p w14:paraId="5D73D7E5">
      <w:pPr>
        <w:pStyle w:val="2"/>
        <w:spacing w:line="339" w:lineRule="auto"/>
      </w:pPr>
    </w:p>
    <w:p w14:paraId="6044DE5A">
      <w:pPr>
        <w:pStyle w:val="2"/>
        <w:spacing w:line="339" w:lineRule="auto"/>
      </w:pPr>
    </w:p>
    <w:p w14:paraId="78739A0D">
      <w:pPr>
        <w:pStyle w:val="2"/>
        <w:spacing w:line="340" w:lineRule="auto"/>
      </w:pPr>
    </w:p>
    <w:p w14:paraId="3D640CD7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511FA8D0">
      <w:pPr>
        <w:spacing w:before="96" w:line="5302" w:lineRule="exact"/>
        <w:ind w:firstLine="237"/>
      </w:pPr>
      <w:r>
        <w:drawing>
          <wp:inline distT="0" distB="0" distL="114300" distR="114300">
            <wp:extent cx="5288280" cy="15678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rcRect t="5511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F4ABF">
      <w:pPr>
        <w:pStyle w:val="2"/>
        <w:spacing w:line="339" w:lineRule="auto"/>
      </w:pPr>
    </w:p>
    <w:p w14:paraId="368F5294">
      <w:pPr>
        <w:pStyle w:val="2"/>
        <w:spacing w:line="339" w:lineRule="auto"/>
      </w:pPr>
    </w:p>
    <w:p w14:paraId="480087BE">
      <w:pPr>
        <w:pStyle w:val="2"/>
        <w:spacing w:line="339" w:lineRule="auto"/>
      </w:pPr>
    </w:p>
    <w:p w14:paraId="2629B458">
      <w:pPr>
        <w:pStyle w:val="2"/>
        <w:spacing w:line="339" w:lineRule="auto"/>
      </w:pPr>
    </w:p>
    <w:p w14:paraId="17BAB208">
      <w:pPr>
        <w:pStyle w:val="2"/>
        <w:spacing w:line="339" w:lineRule="auto"/>
      </w:pPr>
    </w:p>
    <w:p w14:paraId="0EA5BA40">
      <w:pPr>
        <w:pStyle w:val="2"/>
        <w:spacing w:line="339" w:lineRule="auto"/>
      </w:pPr>
    </w:p>
    <w:p w14:paraId="44523E90">
      <w:pPr>
        <w:pStyle w:val="2"/>
        <w:spacing w:line="339" w:lineRule="auto"/>
      </w:pPr>
    </w:p>
    <w:p w14:paraId="17CE7358">
      <w:pPr>
        <w:pStyle w:val="2"/>
        <w:spacing w:line="339" w:lineRule="auto"/>
      </w:pPr>
    </w:p>
    <w:p w14:paraId="281B2B19">
      <w:pPr>
        <w:pStyle w:val="2"/>
        <w:spacing w:line="339" w:lineRule="auto"/>
      </w:pPr>
    </w:p>
    <w:p w14:paraId="32778FF3">
      <w:pPr>
        <w:pStyle w:val="2"/>
        <w:spacing w:line="339" w:lineRule="auto"/>
      </w:pPr>
    </w:p>
    <w:p w14:paraId="3FDAE08F">
      <w:pPr>
        <w:pStyle w:val="2"/>
        <w:spacing w:line="339" w:lineRule="auto"/>
      </w:pPr>
    </w:p>
    <w:p w14:paraId="2F8ED58C">
      <w:pPr>
        <w:pStyle w:val="2"/>
        <w:spacing w:line="339" w:lineRule="auto"/>
      </w:pPr>
    </w:p>
    <w:p w14:paraId="20B56318">
      <w:pPr>
        <w:pStyle w:val="2"/>
        <w:spacing w:line="339" w:lineRule="auto"/>
      </w:pPr>
    </w:p>
    <w:p w14:paraId="5AF577A8">
      <w:pPr>
        <w:pStyle w:val="2"/>
        <w:spacing w:line="339" w:lineRule="auto"/>
      </w:pPr>
    </w:p>
    <w:p w14:paraId="7FA0B0A3">
      <w:pPr>
        <w:pStyle w:val="2"/>
        <w:spacing w:line="339" w:lineRule="auto"/>
      </w:pPr>
    </w:p>
    <w:p w14:paraId="5B32661B">
      <w:pPr>
        <w:pStyle w:val="2"/>
        <w:spacing w:line="339" w:lineRule="auto"/>
      </w:pPr>
    </w:p>
    <w:p w14:paraId="61C9EC6B">
      <w:pPr>
        <w:pStyle w:val="2"/>
        <w:spacing w:line="339" w:lineRule="auto"/>
      </w:pPr>
    </w:p>
    <w:p w14:paraId="34E6A9CD">
      <w:pPr>
        <w:pStyle w:val="2"/>
        <w:spacing w:line="339" w:lineRule="auto"/>
      </w:pPr>
    </w:p>
    <w:p w14:paraId="51053F2F">
      <w:pPr>
        <w:pStyle w:val="2"/>
        <w:spacing w:line="339" w:lineRule="auto"/>
      </w:pPr>
    </w:p>
    <w:p w14:paraId="69604A01">
      <w:pPr>
        <w:pStyle w:val="2"/>
        <w:spacing w:line="339" w:lineRule="auto"/>
      </w:pPr>
    </w:p>
    <w:p w14:paraId="0272A7D0">
      <w:pPr>
        <w:pStyle w:val="2"/>
        <w:spacing w:line="339" w:lineRule="auto"/>
      </w:pPr>
    </w:p>
    <w:p w14:paraId="0874EA28">
      <w:pPr>
        <w:pStyle w:val="2"/>
        <w:spacing w:line="339" w:lineRule="auto"/>
      </w:pPr>
    </w:p>
    <w:p w14:paraId="521F4D4A">
      <w:pPr>
        <w:pStyle w:val="2"/>
        <w:spacing w:line="339" w:lineRule="auto"/>
      </w:pPr>
    </w:p>
    <w:p w14:paraId="5EE6E94F">
      <w:pPr>
        <w:pStyle w:val="2"/>
        <w:spacing w:line="339" w:lineRule="auto"/>
      </w:pPr>
    </w:p>
    <w:p w14:paraId="5FED1058">
      <w:pPr>
        <w:spacing w:before="100" w:line="224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十、部门预算项目支出绩效自评表</w:t>
      </w:r>
    </w:p>
    <w:p w14:paraId="30C30A00">
      <w:pPr>
        <w:pStyle w:val="2"/>
        <w:spacing w:line="261" w:lineRule="auto"/>
      </w:pPr>
    </w:p>
    <w:p w14:paraId="62EC5518">
      <w:pPr>
        <w:pStyle w:val="2"/>
        <w:spacing w:line="261" w:lineRule="auto"/>
      </w:pPr>
    </w:p>
    <w:p w14:paraId="3F2A1DFB">
      <w:pPr>
        <w:pStyle w:val="2"/>
        <w:spacing w:line="261" w:lineRule="auto"/>
      </w:pPr>
      <w:r>
        <w:drawing>
          <wp:inline distT="0" distB="0" distL="114300" distR="114300">
            <wp:extent cx="5293995" cy="6396990"/>
            <wp:effectExtent l="0" t="0" r="1905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639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48707">
      <w:pPr>
        <w:spacing w:line="9847" w:lineRule="exact"/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7C6C1CF5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77BE0DEE">
      <w:pPr>
        <w:pStyle w:val="2"/>
        <w:spacing w:line="314" w:lineRule="auto"/>
      </w:pPr>
    </w:p>
    <w:p w14:paraId="3D9755A5">
      <w:pPr>
        <w:pStyle w:val="2"/>
        <w:spacing w:line="314" w:lineRule="auto"/>
      </w:pPr>
    </w:p>
    <w:p w14:paraId="09CE0E0F">
      <w:pPr>
        <w:pStyle w:val="2"/>
        <w:spacing w:line="315" w:lineRule="auto"/>
      </w:pPr>
    </w:p>
    <w:p w14:paraId="7C413C88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00B3D10C">
      <w:pPr>
        <w:spacing w:before="248" w:line="362" w:lineRule="auto"/>
        <w:ind w:left="36" w:right="113" w:firstLine="634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3508.6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宋体" w:hAnsi="宋体" w:eastAsia="宋体" w:cs="宋体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年度相比，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收、支总计各减少</w:t>
      </w:r>
      <w:r>
        <w:rPr>
          <w:rFonts w:hint="eastAsia" w:ascii="仿宋" w:hAnsi="仿宋" w:eastAsia="仿宋" w:cs="仿宋"/>
          <w:spacing w:val="32"/>
          <w:sz w:val="31"/>
          <w:szCs w:val="31"/>
          <w:lang w:val="en-US" w:eastAsia="zh-CN"/>
        </w:rPr>
        <w:t>612.47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15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原因：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2022年疫情防控支出较大。</w:t>
      </w:r>
    </w:p>
    <w:p w14:paraId="001C76B5">
      <w:pPr>
        <w:pStyle w:val="2"/>
        <w:spacing w:line="260" w:lineRule="auto"/>
      </w:pPr>
    </w:p>
    <w:p w14:paraId="32C6F336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3251B32F">
      <w:pPr>
        <w:spacing w:before="253" w:line="368" w:lineRule="auto"/>
        <w:ind w:left="2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3508.6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3508.6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上年减少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612.47</w:t>
      </w:r>
      <w:r>
        <w:rPr>
          <w:rFonts w:ascii="仿宋" w:hAnsi="仿宋" w:eastAsia="仿宋" w:cs="仿宋"/>
          <w:spacing w:val="6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15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ascii="仿宋" w:hAnsi="仿宋" w:eastAsia="仿宋" w:cs="仿宋"/>
          <w:spacing w:val="-9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2022年疫情防控支出较大</w:t>
      </w:r>
      <w:r>
        <w:rPr>
          <w:rFonts w:ascii="仿宋" w:hAnsi="仿宋" w:eastAsia="仿宋" w:cs="仿宋"/>
          <w:spacing w:val="6"/>
          <w:sz w:val="31"/>
          <w:szCs w:val="31"/>
        </w:rPr>
        <w:t>；上</w:t>
      </w:r>
      <w:r>
        <w:rPr>
          <w:rFonts w:ascii="仿宋" w:hAnsi="仿宋" w:eastAsia="仿宋" w:cs="仿宋"/>
          <w:spacing w:val="-15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万元；经营收入 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ascii="仿宋" w:hAnsi="仿宋" w:eastAsia="仿宋" w:cs="仿宋"/>
          <w:spacing w:val="6"/>
          <w:sz w:val="31"/>
          <w:szCs w:val="31"/>
        </w:rPr>
        <w:t>；附属单位</w:t>
      </w:r>
      <w:r>
        <w:rPr>
          <w:rFonts w:ascii="仿宋" w:hAnsi="仿宋" w:eastAsia="仿宋" w:cs="仿宋"/>
          <w:spacing w:val="-9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；其他收入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7B734218">
      <w:pPr>
        <w:spacing w:before="15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4657EE75">
      <w:pPr>
        <w:spacing w:before="251" w:line="368" w:lineRule="auto"/>
        <w:ind w:left="21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3508.6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1119.9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44.8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4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2022年疫情防控支出较大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ascii="仿宋" w:hAnsi="仿宋" w:eastAsia="仿宋" w:cs="仿宋"/>
          <w:spacing w:val="4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47"/>
          <w:sz w:val="31"/>
          <w:szCs w:val="31"/>
          <w:lang w:val="en-US" w:eastAsia="zh-CN"/>
        </w:rPr>
        <w:t>2388.68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比上年减少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657.29</w:t>
      </w:r>
      <w:r>
        <w:rPr>
          <w:rFonts w:ascii="仿宋" w:hAnsi="仿宋" w:eastAsia="仿宋" w:cs="仿宋"/>
          <w:spacing w:val="3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22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2022年疫情支出较大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-2"/>
          <w:sz w:val="31"/>
          <w:szCs w:val="31"/>
        </w:rPr>
        <w:t>上缴上级支出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万元</w:t>
      </w:r>
      <w:r>
        <w:rPr>
          <w:rFonts w:ascii="仿宋" w:hAnsi="仿宋" w:eastAsia="仿宋" w:cs="仿宋"/>
          <w:spacing w:val="2"/>
          <w:sz w:val="31"/>
          <w:szCs w:val="31"/>
        </w:rPr>
        <w:t>；经营支出</w:t>
      </w:r>
      <w:r>
        <w:rPr>
          <w:rFonts w:hint="eastAsia" w:ascii="仿宋" w:hAnsi="仿宋" w:eastAsia="仿宋" w:cs="仿宋"/>
          <w:spacing w:val="4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  <w:r>
        <w:rPr>
          <w:rFonts w:ascii="仿宋" w:hAnsi="仿宋" w:eastAsia="仿宋" w:cs="仿宋"/>
          <w:spacing w:val="6"/>
          <w:sz w:val="31"/>
          <w:szCs w:val="31"/>
        </w:rPr>
        <w:t>；对附属单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位补助支出</w:t>
      </w:r>
      <w:r>
        <w:rPr>
          <w:rFonts w:hint="eastAsia" w:ascii="仿宋" w:hAnsi="仿宋" w:eastAsia="仿宋" w:cs="仿宋"/>
          <w:spacing w:val="4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505FC7C6">
      <w:pPr>
        <w:pStyle w:val="2"/>
        <w:spacing w:line="285" w:lineRule="auto"/>
      </w:pPr>
    </w:p>
    <w:p w14:paraId="4D8E809C">
      <w:pPr>
        <w:pStyle w:val="2"/>
        <w:spacing w:line="285" w:lineRule="auto"/>
      </w:pPr>
    </w:p>
    <w:p w14:paraId="68D2FAC8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6F4CBAA8">
      <w:pPr>
        <w:spacing w:before="248" w:line="362" w:lineRule="auto"/>
        <w:ind w:left="23" w:right="86" w:firstLine="648"/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3508.6</w:t>
      </w:r>
      <w:r>
        <w:rPr>
          <w:rFonts w:ascii="仿宋" w:hAnsi="仿宋" w:eastAsia="仿宋" w:cs="仿宋"/>
          <w:spacing w:val="5"/>
          <w:sz w:val="31"/>
          <w:szCs w:val="31"/>
        </w:rPr>
        <w:t>万元，与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相比，财政拨款收、支总计各减少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612.47</w:t>
      </w: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2022年疫情防控支出较大。</w:t>
      </w:r>
    </w:p>
    <w:p w14:paraId="14D0D310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6345DA61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）一般公共预算财政拨款支出决算总体情况</w:t>
      </w:r>
    </w:p>
    <w:p w14:paraId="6514162F">
      <w:pPr>
        <w:spacing w:before="160" w:line="357" w:lineRule="auto"/>
        <w:ind w:right="90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3504.18</w:t>
      </w:r>
      <w:r>
        <w:rPr>
          <w:rFonts w:ascii="仿宋" w:hAnsi="仿宋" w:eastAsia="仿宋" w:cs="仿宋"/>
          <w:spacing w:val="4"/>
          <w:sz w:val="31"/>
          <w:szCs w:val="31"/>
        </w:rPr>
        <w:t>万元，占本年支</w:t>
      </w:r>
      <w:r>
        <w:rPr>
          <w:rFonts w:ascii="仿宋" w:hAnsi="仿宋" w:eastAsia="仿宋" w:cs="仿宋"/>
          <w:spacing w:val="3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99.8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。与 </w:t>
      </w:r>
      <w:r>
        <w:rPr>
          <w:rFonts w:ascii="宋体" w:hAnsi="宋体" w:eastAsia="宋体" w:cs="宋体"/>
          <w:spacing w:val="3"/>
          <w:sz w:val="31"/>
          <w:szCs w:val="31"/>
        </w:rPr>
        <w:t>2022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年度相比，一般公共预算财政拨款支</w:t>
      </w:r>
      <w:r>
        <w:rPr>
          <w:rFonts w:ascii="仿宋" w:hAnsi="仿宋" w:eastAsia="仿宋" w:cs="仿宋"/>
          <w:spacing w:val="-1"/>
          <w:sz w:val="31"/>
          <w:szCs w:val="31"/>
        </w:rPr>
        <w:t>出减少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616.18</w:t>
      </w:r>
      <w:r>
        <w:rPr>
          <w:rFonts w:ascii="仿宋" w:hAnsi="仿宋" w:eastAsia="仿宋" w:cs="仿宋"/>
          <w:spacing w:val="-1"/>
          <w:sz w:val="31"/>
          <w:szCs w:val="31"/>
        </w:rPr>
        <w:t>万元，降低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15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。主要原因：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2022年疫情防控支出较大。</w:t>
      </w:r>
    </w:p>
    <w:p w14:paraId="30AF51D9">
      <w:pPr>
        <w:spacing w:before="51" w:line="223" w:lineRule="auto"/>
        <w:ind w:firstLine="638" w:firstLineChars="20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07DC3A9B">
      <w:pPr>
        <w:spacing w:before="251" w:line="364" w:lineRule="auto"/>
        <w:ind w:left="68" w:right="7" w:firstLine="603"/>
        <w:jc w:val="both"/>
        <w:rPr>
          <w:rFonts w:hint="eastAsia" w:ascii="宋体" w:hAnsi="宋体" w:eastAsia="宋体" w:cs="宋体"/>
          <w:spacing w:val="-6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3504.18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以下方面：一般公共服务支出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2936.77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84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hint="eastAsia" w:ascii="宋体" w:hAnsi="宋体" w:eastAsia="宋体" w:cs="宋体"/>
          <w:spacing w:val="-6"/>
          <w:sz w:val="31"/>
          <w:szCs w:val="31"/>
          <w:lang w:eastAsia="zh-CN"/>
        </w:rPr>
        <w:t>。</w:t>
      </w:r>
    </w:p>
    <w:p w14:paraId="470EE71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1、住房保障支出（类）住房改革支出（款）住房公积金</w:t>
      </w:r>
    </w:p>
    <w:p w14:paraId="4CB36FF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支出（项）。年初预算为141万元，支出决算140.03万元，</w:t>
      </w:r>
    </w:p>
    <w:p w14:paraId="2C05344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完成年初预算99.3%。决算数小于预算数的主要原因是正常预</w:t>
      </w:r>
    </w:p>
    <w:p w14:paraId="1EF6A68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算差额。</w:t>
      </w:r>
    </w:p>
    <w:p w14:paraId="460DB9B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2、文化旅游体育与传媒支出（类）文化和旅游（款）其</w:t>
      </w:r>
    </w:p>
    <w:p w14:paraId="549C048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他文化和旅游支出（项）。年初预算为5万元，支出决算为5</w:t>
      </w:r>
    </w:p>
    <w:p w14:paraId="3A1CE07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万元，完成年初预算的100%。</w:t>
      </w:r>
    </w:p>
    <w:p w14:paraId="18EDE32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3、社会保障和就业支出（类）人力资源和社会保障管理</w:t>
      </w:r>
    </w:p>
    <w:p w14:paraId="59885AD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事务（款）基层政权建设和社区治理（项）。年初预算423 </w:t>
      </w:r>
    </w:p>
    <w:p w14:paraId="2899639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万元，支出决算为422.38万元，完成年初预算的99.9%。决算</w:t>
      </w:r>
    </w:p>
    <w:p w14:paraId="7E5AF32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数小于预算数的主要原因是正常预算差额。</w:t>
      </w:r>
    </w:p>
    <w:p w14:paraId="2D860AB9">
      <w:pPr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4、</w:t>
      </w:r>
      <w:r>
        <w:rPr>
          <w:rFonts w:hint="eastAsia" w:ascii="仿宋" w:hAnsi="仿宋" w:eastAsia="仿宋"/>
          <w:sz w:val="32"/>
          <w:szCs w:val="30"/>
        </w:rPr>
        <w:t>一般公共服务支出（类）民族事务（款）其他民族事务支出（项）。年初预算为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0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7.54</w:t>
      </w:r>
      <w:r>
        <w:rPr>
          <w:rFonts w:hint="eastAsia" w:ascii="仿宋" w:hAnsi="仿宋" w:eastAsia="仿宋"/>
          <w:sz w:val="32"/>
          <w:szCs w:val="30"/>
        </w:rPr>
        <w:t>万元，完成年初预算的9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0"/>
        </w:rPr>
        <w:t>%。决算数小于预算数的主要原因是</w:t>
      </w:r>
      <w:r>
        <w:rPr>
          <w:rStyle w:val="7"/>
          <w:rFonts w:ascii="仿宋" w:hAnsi="仿宋" w:eastAsia="仿宋"/>
          <w:sz w:val="32"/>
        </w:rPr>
        <w:t>正常预算差额</w:t>
      </w:r>
      <w:r>
        <w:rPr>
          <w:rFonts w:hint="eastAsia" w:ascii="仿宋" w:hAnsi="仿宋" w:eastAsia="仿宋"/>
          <w:sz w:val="32"/>
          <w:szCs w:val="30"/>
        </w:rPr>
        <w:t>。</w:t>
      </w:r>
    </w:p>
    <w:p w14:paraId="3D8FB35E">
      <w:pPr>
        <w:ind w:left="-283" w:leftChars="-135" w:firstLine="640" w:firstLineChars="200"/>
        <w:rPr>
          <w:rStyle w:val="7"/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0"/>
        </w:rPr>
        <w:t>社会保障和就业支出（类）临时救助（款）临时救助支出（项）。年初预算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0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8.23</w:t>
      </w:r>
      <w:r>
        <w:rPr>
          <w:rFonts w:hint="eastAsia" w:ascii="仿宋" w:hAnsi="仿宋" w:eastAsia="仿宋"/>
          <w:sz w:val="32"/>
          <w:szCs w:val="30"/>
        </w:rPr>
        <w:t>万元，完成年初预算的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82.3</w:t>
      </w:r>
      <w:r>
        <w:rPr>
          <w:rFonts w:hint="eastAsia" w:ascii="仿宋" w:hAnsi="仿宋" w:eastAsia="仿宋"/>
          <w:sz w:val="32"/>
          <w:szCs w:val="30"/>
        </w:rPr>
        <w:t>%。决算数小于预算数的主要原因是</w:t>
      </w:r>
      <w:r>
        <w:rPr>
          <w:rStyle w:val="7"/>
          <w:rFonts w:ascii="仿宋" w:hAnsi="仿宋" w:eastAsia="仿宋"/>
          <w:sz w:val="32"/>
        </w:rPr>
        <w:t>正常预算差额</w:t>
      </w:r>
    </w:p>
    <w:p w14:paraId="5D7C6BF8">
      <w:pPr>
        <w:ind w:left="-283" w:leftChars="-135"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6、</w:t>
      </w:r>
      <w:r>
        <w:rPr>
          <w:rFonts w:hint="eastAsia" w:ascii="仿宋" w:hAnsi="仿宋" w:eastAsia="仿宋"/>
          <w:sz w:val="32"/>
          <w:szCs w:val="30"/>
        </w:rPr>
        <w:t>社会保障和就业支出（类）其他生活救助（款）其他城市生活救助支出（项）。年初预算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0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9.74</w:t>
      </w:r>
      <w:r>
        <w:rPr>
          <w:rFonts w:hint="eastAsia" w:ascii="仿宋" w:hAnsi="仿宋" w:eastAsia="仿宋"/>
          <w:sz w:val="32"/>
          <w:szCs w:val="30"/>
        </w:rPr>
        <w:t>万元，完成年初预算的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97.4</w:t>
      </w:r>
      <w:r>
        <w:rPr>
          <w:rFonts w:hint="eastAsia" w:ascii="仿宋" w:hAnsi="仿宋" w:eastAsia="仿宋"/>
          <w:sz w:val="32"/>
          <w:szCs w:val="30"/>
        </w:rPr>
        <w:t>%。决算数小于预算数的主要原因是</w:t>
      </w:r>
      <w:r>
        <w:rPr>
          <w:rStyle w:val="7"/>
          <w:rFonts w:ascii="仿宋" w:hAnsi="仿宋" w:eastAsia="仿宋"/>
          <w:sz w:val="32"/>
        </w:rPr>
        <w:t>正常预算差额</w:t>
      </w:r>
      <w:r>
        <w:rPr>
          <w:rFonts w:hint="eastAsia" w:ascii="仿宋" w:hAnsi="仿宋" w:eastAsia="仿宋"/>
          <w:sz w:val="32"/>
          <w:szCs w:val="30"/>
        </w:rPr>
        <w:t>。</w:t>
      </w:r>
    </w:p>
    <w:p w14:paraId="42B79CAD">
      <w:pPr>
        <w:ind w:left="-283" w:leftChars="-135"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0"/>
        </w:rPr>
        <w:t>一般公共服务支出（类）民族事务（款）其他民族事务支出（项）。年初预算为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7.8</w:t>
      </w:r>
      <w:r>
        <w:rPr>
          <w:rFonts w:hint="eastAsia" w:ascii="仿宋" w:hAnsi="仿宋" w:eastAsia="仿宋"/>
          <w:sz w:val="32"/>
          <w:szCs w:val="30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7.54</w:t>
      </w:r>
      <w:r>
        <w:rPr>
          <w:rFonts w:hint="eastAsia" w:ascii="仿宋" w:hAnsi="仿宋" w:eastAsia="仿宋"/>
          <w:sz w:val="32"/>
          <w:szCs w:val="30"/>
        </w:rPr>
        <w:t>万元，完成年初预算的9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0"/>
        </w:rPr>
        <w:t>%。决算数小于预算数的主要原因是</w:t>
      </w:r>
      <w:r>
        <w:rPr>
          <w:rStyle w:val="7"/>
          <w:rFonts w:ascii="仿宋" w:hAnsi="仿宋" w:eastAsia="仿宋"/>
          <w:sz w:val="32"/>
        </w:rPr>
        <w:t>正常预算差额</w:t>
      </w:r>
      <w:r>
        <w:rPr>
          <w:rFonts w:hint="eastAsia" w:ascii="仿宋" w:hAnsi="仿宋" w:eastAsia="仿宋"/>
          <w:sz w:val="32"/>
          <w:szCs w:val="30"/>
        </w:rPr>
        <w:t>。</w:t>
      </w:r>
    </w:p>
    <w:p w14:paraId="7F7690CA">
      <w:pPr>
        <w:ind w:left="-283" w:leftChars="-135"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、</w:t>
      </w:r>
    </w:p>
    <w:p w14:paraId="61DD5CF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</w:pPr>
    </w:p>
    <w:p w14:paraId="7B0A1E01"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</w:pPr>
    </w:p>
    <w:p w14:paraId="678D9230">
      <w:pPr>
        <w:spacing w:before="49" w:line="356" w:lineRule="auto"/>
        <w:ind w:left="29" w:right="91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注：请按支出功能分类科目的类级科目逐一说明；可做</w:t>
      </w:r>
      <w:r>
        <w:rPr>
          <w:rFonts w:ascii="仿宋" w:hAnsi="仿宋" w:eastAsia="仿宋" w:cs="仿宋"/>
          <w:color w:val="FF0000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柱形图或饼形图进行分析对比。</w:t>
      </w:r>
    </w:p>
    <w:p w14:paraId="393BE2C7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一般公共预算财政拨款支出决算具体情况</w:t>
      </w:r>
    </w:p>
    <w:p w14:paraId="5134584E">
      <w:pPr>
        <w:spacing w:before="248" w:line="357" w:lineRule="auto"/>
        <w:ind w:left="38" w:right="86" w:firstLine="63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3691</w:t>
      </w:r>
      <w:r>
        <w:rPr>
          <w:rFonts w:ascii="仿宋" w:hAnsi="仿宋" w:eastAsia="仿宋" w:cs="仿宋"/>
          <w:spacing w:val="12"/>
          <w:sz w:val="31"/>
          <w:szCs w:val="31"/>
        </w:rPr>
        <w:t>万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3508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95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07E0BE43">
      <w:pPr>
        <w:spacing w:before="54" w:line="361" w:lineRule="auto"/>
        <w:ind w:left="30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12"/>
          <w:sz w:val="31"/>
          <w:szCs w:val="31"/>
        </w:rPr>
        <w:t>1.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财政事务（款）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行政运行（项）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3400</w:t>
      </w:r>
      <w:r>
        <w:rPr>
          <w:rFonts w:ascii="仿宋" w:hAnsi="仿宋" w:eastAsia="仿宋" w:cs="仿宋"/>
          <w:spacing w:val="20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58"/>
          <w:sz w:val="31"/>
          <w:szCs w:val="31"/>
          <w:lang w:val="en-US" w:eastAsia="zh-CN"/>
        </w:rPr>
        <w:t>1119.92</w:t>
      </w:r>
      <w:r>
        <w:rPr>
          <w:rFonts w:ascii="仿宋" w:hAnsi="仿宋" w:eastAsia="仿宋" w:cs="仿宋"/>
          <w:spacing w:val="20"/>
          <w:sz w:val="31"/>
          <w:szCs w:val="31"/>
        </w:rPr>
        <w:t>万元，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完成年初预算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33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。决算数大（小）于预算数的主要原因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是办公费支出减少。。</w:t>
      </w:r>
    </w:p>
    <w:p w14:paraId="4F7AF31E">
      <w:pPr>
        <w:keepNext w:val="0"/>
        <w:keepLines w:val="0"/>
        <w:widowControl/>
        <w:suppressLineNumbers w:val="0"/>
        <w:jc w:val="left"/>
        <w:rPr>
          <w:rFonts w:hint="eastAsia" w:eastAsia="仿宋"/>
          <w:lang w:eastAsia="zh-CN"/>
        </w:rPr>
      </w:pP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67"/>
          <w:sz w:val="31"/>
          <w:szCs w:val="31"/>
          <w:lang w:val="en-US" w:eastAsia="zh-CN"/>
        </w:rPr>
        <w:t>2、项目预算</w:t>
      </w:r>
      <w:r>
        <w:rPr>
          <w:rFonts w:ascii="仿宋" w:hAnsi="仿宋" w:eastAsia="仿宋" w:cs="仿宋"/>
          <w:spacing w:val="3"/>
          <w:sz w:val="31"/>
          <w:szCs w:val="31"/>
        </w:rPr>
        <w:t>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291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2388.68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720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增加原因为街道办公用房装修增加支出。</w:t>
      </w:r>
    </w:p>
    <w:p w14:paraId="3A7240E5">
      <w:pPr>
        <w:spacing w:before="160" w:line="357" w:lineRule="auto"/>
        <w:ind w:right="90"/>
      </w:pPr>
    </w:p>
    <w:p w14:paraId="40D8BC06">
      <w:pPr>
        <w:pStyle w:val="2"/>
        <w:spacing w:line="256" w:lineRule="auto"/>
      </w:pPr>
    </w:p>
    <w:p w14:paraId="60ED966F">
      <w:pPr>
        <w:spacing w:before="101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093B6885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1119.4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672512E3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770.93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金、伙食补助费、绩效工资、机关事业单位基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费、职业年金缴费、职工基本医疗保险缴费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、公务员医疗补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助缴费、其他社会保障缴费、住房公积金、医疗费、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其他工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资福利支出、离休费、退休费、退职（役） 费</w:t>
      </w:r>
      <w:r>
        <w:rPr>
          <w:rFonts w:ascii="仿宋" w:hAnsi="仿宋" w:eastAsia="仿宋" w:cs="仿宋"/>
          <w:spacing w:val="2"/>
          <w:sz w:val="31"/>
          <w:szCs w:val="31"/>
        </w:rPr>
        <w:t>、抚恤金、生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活补助、救济费、医疗费补助、助学金、奖励金、个</w:t>
      </w:r>
      <w:r>
        <w:rPr>
          <w:rFonts w:ascii="仿宋" w:hAnsi="仿宋" w:eastAsia="仿宋" w:cs="仿宋"/>
          <w:spacing w:val="8"/>
          <w:sz w:val="31"/>
          <w:szCs w:val="31"/>
        </w:rPr>
        <w:t>人农业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生产补贴、代缴社会保险费和其他对个人和家庭</w:t>
      </w:r>
      <w:r>
        <w:rPr>
          <w:rFonts w:ascii="仿宋" w:hAnsi="仿宋" w:eastAsia="仿宋" w:cs="仿宋"/>
          <w:spacing w:val="8"/>
          <w:sz w:val="31"/>
          <w:szCs w:val="31"/>
        </w:rPr>
        <w:t>的补助。</w:t>
      </w:r>
    </w:p>
    <w:p w14:paraId="0B2FC9DA">
      <w:pPr>
        <w:spacing w:before="52" w:line="222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6"/>
          <w:sz w:val="31"/>
          <w:szCs w:val="31"/>
        </w:rPr>
        <w:t>注：上述科目可根据本部门情况增减。</w:t>
      </w:r>
    </w:p>
    <w:p w14:paraId="50783696">
      <w:pPr>
        <w:spacing w:before="254" w:line="367" w:lineRule="auto"/>
        <w:ind w:left="26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348.98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，主要包括：办公费、印刷费、咨询费、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手续费、水费、电费、邮电费、取暖费、物业</w:t>
      </w:r>
      <w:r>
        <w:rPr>
          <w:rFonts w:ascii="仿宋" w:hAnsi="仿宋" w:eastAsia="仿宋" w:cs="仿宋"/>
          <w:spacing w:val="8"/>
          <w:sz w:val="31"/>
          <w:szCs w:val="31"/>
        </w:rPr>
        <w:t>管理费、差旅</w:t>
      </w:r>
      <w:r>
        <w:rPr>
          <w:rFonts w:ascii="仿宋" w:hAnsi="仿宋" w:eastAsia="仿宋" w:cs="仿宋"/>
          <w:sz w:val="31"/>
          <w:szCs w:val="31"/>
        </w:rPr>
        <w:t xml:space="preserve"> 费、因公出国（境）费、维修（护）费、租赁</w:t>
      </w:r>
      <w:r>
        <w:rPr>
          <w:rFonts w:ascii="仿宋" w:hAnsi="仿宋" w:eastAsia="仿宋" w:cs="仿宋"/>
          <w:spacing w:val="-1"/>
          <w:sz w:val="31"/>
          <w:szCs w:val="31"/>
        </w:rPr>
        <w:t>费、</w:t>
      </w:r>
      <w:r>
        <w:rPr>
          <w:rFonts w:ascii="仿宋" w:hAnsi="仿宋" w:eastAsia="仿宋" w:cs="仿宋"/>
          <w:spacing w:val="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会议费、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培训费、公务接待费、专用材料费、被装购置费、专</w:t>
      </w:r>
      <w:r>
        <w:rPr>
          <w:rFonts w:ascii="仿宋" w:hAnsi="仿宋" w:eastAsia="仿宋" w:cs="仿宋"/>
          <w:spacing w:val="8"/>
          <w:sz w:val="31"/>
          <w:szCs w:val="31"/>
        </w:rPr>
        <w:t>用燃料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费、劳务费、委托业务费、工会经费、福利费、公</w:t>
      </w:r>
      <w:r>
        <w:rPr>
          <w:rFonts w:ascii="仿宋" w:hAnsi="仿宋" w:eastAsia="仿宋" w:cs="仿宋"/>
          <w:spacing w:val="8"/>
          <w:sz w:val="31"/>
          <w:szCs w:val="31"/>
        </w:rPr>
        <w:t>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行维护费、其他交通费用、税金及附加费用、其</w:t>
      </w:r>
      <w:r>
        <w:rPr>
          <w:rFonts w:ascii="仿宋" w:hAnsi="仿宋" w:eastAsia="仿宋" w:cs="仿宋"/>
          <w:spacing w:val="8"/>
          <w:sz w:val="31"/>
          <w:szCs w:val="31"/>
        </w:rPr>
        <w:t>他商品和服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务支出、房屋建筑物购建、办公设备购置、专用设备购</w:t>
      </w:r>
      <w:r>
        <w:rPr>
          <w:rFonts w:ascii="仿宋" w:hAnsi="仿宋" w:eastAsia="仿宋" w:cs="仿宋"/>
          <w:spacing w:val="8"/>
          <w:sz w:val="31"/>
          <w:szCs w:val="31"/>
        </w:rPr>
        <w:t>置、</w:t>
      </w:r>
    </w:p>
    <w:p w14:paraId="5D585B78">
      <w:pPr>
        <w:spacing w:line="367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699" w:bottom="1153" w:left="1785" w:header="0" w:footer="965" w:gutter="0"/>
          <w:cols w:space="720" w:num="1"/>
        </w:sectPr>
      </w:pPr>
    </w:p>
    <w:p w14:paraId="128F488B">
      <w:pPr>
        <w:spacing w:before="158" w:line="356" w:lineRule="auto"/>
        <w:ind w:left="39" w:right="161" w:hanging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基础设施建设、大型修缮、信息网络及软件购置更新、其他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资本性支出</w:t>
      </w:r>
    </w:p>
    <w:p w14:paraId="3959FB16">
      <w:pPr>
        <w:spacing w:before="53" w:line="222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6"/>
          <w:sz w:val="31"/>
          <w:szCs w:val="31"/>
        </w:rPr>
        <w:t>注：上述科目可根据本部门情况增减。</w:t>
      </w:r>
    </w:p>
    <w:p w14:paraId="0E3677D6">
      <w:pPr>
        <w:pStyle w:val="2"/>
        <w:spacing w:line="256" w:lineRule="auto"/>
      </w:pPr>
    </w:p>
    <w:p w14:paraId="63666D74">
      <w:pPr>
        <w:pStyle w:val="2"/>
        <w:spacing w:line="256" w:lineRule="auto"/>
      </w:pPr>
    </w:p>
    <w:p w14:paraId="1F162806">
      <w:pPr>
        <w:pStyle w:val="2"/>
        <w:spacing w:line="256" w:lineRule="auto"/>
      </w:pPr>
    </w:p>
    <w:p w14:paraId="23C39385">
      <w:pPr>
        <w:spacing w:before="101" w:line="224" w:lineRule="auto"/>
        <w:ind w:left="5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52F4B458">
      <w:pPr>
        <w:spacing w:before="246" w:line="366" w:lineRule="auto"/>
        <w:ind w:left="38" w:firstLine="474"/>
        <w:rPr>
          <w:rFonts w:hint="eastAsia" w:ascii="仿宋" w:hAnsi="仿宋" w:eastAsia="宋体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33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33"/>
          <w:sz w:val="31"/>
          <w:szCs w:val="31"/>
        </w:rPr>
        <w:t>年度政府性基金预算财政拨款年初结转和结余</w:t>
      </w:r>
      <w:r>
        <w:rPr>
          <w:rFonts w:ascii="仿宋" w:hAnsi="仿宋" w:eastAsia="仿宋" w:cs="仿宋"/>
          <w:sz w:val="31"/>
          <w:szCs w:val="31"/>
        </w:rPr>
        <w:t xml:space="preserve">  万元；本年收入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3.89</w:t>
      </w:r>
      <w:r>
        <w:rPr>
          <w:rFonts w:ascii="仿宋" w:hAnsi="仿宋" w:eastAsia="仿宋" w:cs="仿宋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3.89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本年支出 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3.89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支出具体情况如下：</w:t>
      </w:r>
      <w:r>
        <w:rPr>
          <w:rFonts w:hint="eastAsia" w:ascii="宋体" w:hAnsi="宋体" w:eastAsia="宋体" w:cs="宋体"/>
          <w:sz w:val="31"/>
          <w:szCs w:val="31"/>
          <w:lang w:eastAsia="zh-CN"/>
        </w:rPr>
        <w:t>彩票公益金支出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2C9D2786">
      <w:pPr>
        <w:spacing w:before="260" w:line="223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注：按支出功能分类科目类、款、项级科目逐一说明。</w:t>
      </w:r>
    </w:p>
    <w:p w14:paraId="763E990B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7" w:h="16839"/>
          <w:pgMar w:top="1431" w:right="1641" w:bottom="1153" w:left="1785" w:header="0" w:footer="965" w:gutter="0"/>
          <w:cols w:space="720" w:num="1"/>
        </w:sectPr>
      </w:pPr>
    </w:p>
    <w:p w14:paraId="43F0FC0D">
      <w:pPr>
        <w:spacing w:before="158" w:line="224" w:lineRule="auto"/>
        <w:ind w:left="7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03730A95">
      <w:pPr>
        <w:spacing w:before="248" w:line="220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7"/>
          <w:sz w:val="31"/>
          <w:szCs w:val="31"/>
        </w:rPr>
        <w:t>年度国有资本经营预算年初结转和结余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万元；</w:t>
      </w:r>
    </w:p>
    <w:p w14:paraId="66650B1F">
      <w:pPr>
        <w:spacing w:before="255" w:line="364" w:lineRule="auto"/>
        <w:ind w:left="23" w:firstLine="3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-5"/>
          <w:sz w:val="31"/>
          <w:szCs w:val="31"/>
        </w:rPr>
        <w:t>本年收入</w:t>
      </w:r>
      <w:r>
        <w:rPr>
          <w:rFonts w:hint="eastAsia" w:ascii="仿宋" w:hAnsi="仿宋" w:eastAsia="仿宋" w:cs="仿宋"/>
          <w:spacing w:val="-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万元，</w:t>
      </w:r>
      <w:r>
        <w:rPr>
          <w:rFonts w:ascii="仿宋" w:hAnsi="仿宋" w:eastAsia="仿宋" w:cs="仿宋"/>
          <w:spacing w:val="1"/>
          <w:sz w:val="31"/>
          <w:szCs w:val="31"/>
        </w:rPr>
        <w:t>本年支出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.</w:t>
      </w:r>
    </w:p>
    <w:p w14:paraId="34ADF2EC">
      <w:pPr>
        <w:spacing w:before="260" w:line="223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注：按支出功能分类科目类、款、项级科目逐一说明。</w:t>
      </w:r>
    </w:p>
    <w:p w14:paraId="2758D540">
      <w:pPr>
        <w:pStyle w:val="2"/>
        <w:spacing w:line="255" w:lineRule="auto"/>
      </w:pPr>
    </w:p>
    <w:p w14:paraId="2ACE1BF2">
      <w:pPr>
        <w:pStyle w:val="2"/>
        <w:spacing w:line="256" w:lineRule="auto"/>
      </w:pPr>
    </w:p>
    <w:p w14:paraId="0CC41225">
      <w:pPr>
        <w:pStyle w:val="2"/>
        <w:spacing w:line="256" w:lineRule="auto"/>
      </w:pPr>
    </w:p>
    <w:p w14:paraId="08B74CEF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323F95D4">
      <w:pPr>
        <w:spacing w:before="248" w:line="224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注：</w:t>
      </w:r>
      <w:r>
        <w:rPr>
          <w:rFonts w:ascii="仿宋" w:hAnsi="仿宋" w:eastAsia="仿宋" w:cs="仿宋"/>
          <w:color w:val="FF0000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“三公”经费增减变化原因要分项说明。</w:t>
      </w:r>
    </w:p>
    <w:p w14:paraId="3D8D588A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一）“三公”经费财政拨款支出决算总体情况说明</w:t>
      </w:r>
    </w:p>
    <w:p w14:paraId="1CDC7396">
      <w:pPr>
        <w:spacing w:before="249" w:line="223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4.8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</w:p>
    <w:p w14:paraId="6BB2B887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7" w:h="16839"/>
          <w:pgMar w:top="1431" w:right="1714" w:bottom="1153" w:left="1785" w:header="0" w:footer="965" w:gutter="0"/>
          <w:cols w:space="720" w:num="1"/>
        </w:sectPr>
      </w:pPr>
    </w:p>
    <w:p w14:paraId="1238D6AB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4.75</w:t>
      </w:r>
      <w:r>
        <w:rPr>
          <w:rFonts w:ascii="仿宋" w:hAnsi="仿宋" w:eastAsia="仿宋" w:cs="仿宋"/>
          <w:spacing w:val="-1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99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；较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2022</w:t>
      </w:r>
      <w:r>
        <w:rPr>
          <w:rFonts w:ascii="宋体" w:hAnsi="宋体" w:eastAsia="宋体" w:cs="宋体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年度减少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0.15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，主要原因是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主要原因是降低油耗及维修费 </w:t>
      </w:r>
    </w:p>
    <w:p w14:paraId="2BD87EF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31"/>
          <w:szCs w:val="31"/>
          <w:lang w:val="en-US" w:eastAsia="zh-CN" w:bidi="ar"/>
        </w:rPr>
        <w:t>用。</w:t>
      </w:r>
    </w:p>
    <w:p w14:paraId="670AB8FA">
      <w:pPr>
        <w:spacing w:before="50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4AD2D45A">
      <w:pPr>
        <w:spacing w:before="248" w:line="366" w:lineRule="auto"/>
        <w:ind w:left="23" w:right="74" w:firstLine="66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因公出国（境）费预算为 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万元</w:t>
      </w:r>
      <w:r>
        <w:rPr>
          <w:rFonts w:ascii="宋体" w:hAnsi="宋体" w:eastAsia="宋体" w:cs="宋体"/>
          <w:spacing w:val="3"/>
          <w:sz w:val="31"/>
          <w:szCs w:val="31"/>
        </w:rPr>
        <w:t>,</w:t>
      </w:r>
      <w:r>
        <w:rPr>
          <w:rFonts w:ascii="仿宋" w:hAnsi="仿宋" w:eastAsia="仿宋" w:cs="仿宋"/>
          <w:spacing w:val="3"/>
          <w:sz w:val="31"/>
          <w:szCs w:val="31"/>
        </w:rPr>
        <w:t>支出决算为</w:t>
      </w:r>
      <w:r>
        <w:rPr>
          <w:rFonts w:ascii="仿宋" w:hAnsi="仿宋" w:eastAsia="仿宋" w:cs="仿宋"/>
          <w:spacing w:val="20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</w:t>
      </w:r>
      <w:r>
        <w:rPr>
          <w:rFonts w:ascii="仿宋" w:hAnsi="仿宋" w:eastAsia="仿宋" w:cs="仿宋"/>
          <w:spacing w:val="2"/>
          <w:sz w:val="31"/>
          <w:szCs w:val="31"/>
        </w:rPr>
        <w:t>元，</w:t>
      </w:r>
      <w:r>
        <w:rPr>
          <w:rFonts w:ascii="仿宋" w:hAnsi="仿宋" w:eastAsia="仿宋" w:cs="仿宋"/>
          <w:sz w:val="31"/>
          <w:szCs w:val="31"/>
        </w:rPr>
        <w:t xml:space="preserve"> 完成预算的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%</w:t>
      </w:r>
    </w:p>
    <w:p w14:paraId="14D57D7D">
      <w:pPr>
        <w:spacing w:before="47" w:line="361" w:lineRule="auto"/>
        <w:ind w:left="34" w:right="155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注：细化说明因公出国（境）团组数及人数，主要包括</w:t>
      </w:r>
      <w:r>
        <w:rPr>
          <w:rFonts w:ascii="仿宋" w:hAnsi="仿宋" w:eastAsia="仿宋" w:cs="仿宋"/>
          <w:color w:val="FF0000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要分别列出出国事项及开支金额。没有的也要分别填列</w:t>
      </w:r>
      <w:r>
        <w:rPr>
          <w:rFonts w:ascii="仿宋" w:hAnsi="仿宋" w:eastAsia="仿宋" w:cs="仿宋"/>
          <w:color w:val="FF0000"/>
          <w:spacing w:val="-51"/>
          <w:sz w:val="31"/>
          <w:szCs w:val="31"/>
        </w:rPr>
        <w:t xml:space="preserve"> </w:t>
      </w:r>
      <w:r>
        <w:rPr>
          <w:rFonts w:ascii="宋体" w:hAnsi="宋体" w:eastAsia="宋体" w:cs="宋体"/>
          <w:color w:val="FF0000"/>
          <w:spacing w:val="7"/>
          <w:sz w:val="31"/>
          <w:szCs w:val="31"/>
        </w:rPr>
        <w:t>0</w:t>
      </w:r>
      <w:r>
        <w:rPr>
          <w:rFonts w:ascii="宋体" w:hAnsi="宋体" w:eastAsia="宋体" w:cs="宋体"/>
          <w:color w:val="FF0000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个</w:t>
      </w:r>
      <w:r>
        <w:rPr>
          <w:rFonts w:ascii="仿宋" w:hAnsi="仿宋" w:eastAsia="仿宋" w:cs="仿宋"/>
          <w:color w:val="FF0000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和</w:t>
      </w:r>
      <w:r>
        <w:rPr>
          <w:rFonts w:ascii="仿宋" w:hAnsi="仿宋" w:eastAsia="仿宋" w:cs="仿宋"/>
          <w:color w:val="FF0000"/>
          <w:spacing w:val="-58"/>
          <w:sz w:val="31"/>
          <w:szCs w:val="31"/>
        </w:rPr>
        <w:t xml:space="preserve"> </w:t>
      </w:r>
      <w:r>
        <w:rPr>
          <w:rFonts w:ascii="宋体" w:hAnsi="宋体" w:eastAsia="宋体" w:cs="宋体"/>
          <w:color w:val="FF0000"/>
          <w:spacing w:val="7"/>
          <w:sz w:val="31"/>
          <w:szCs w:val="31"/>
        </w:rPr>
        <w:t>0</w:t>
      </w:r>
      <w:r>
        <w:rPr>
          <w:rFonts w:ascii="宋体" w:hAnsi="宋体" w:eastAsia="宋体" w:cs="宋体"/>
          <w:color w:val="FF0000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7"/>
          <w:sz w:val="31"/>
          <w:szCs w:val="31"/>
        </w:rPr>
        <w:t>人或附说明无因公出国（境）团组和人数字</w:t>
      </w:r>
      <w:r>
        <w:rPr>
          <w:rFonts w:ascii="仿宋" w:hAnsi="仿宋" w:eastAsia="仿宋" w:cs="仿宋"/>
          <w:color w:val="FF0000"/>
          <w:spacing w:val="6"/>
          <w:sz w:val="31"/>
          <w:szCs w:val="31"/>
        </w:rPr>
        <w:t>样。</w:t>
      </w:r>
    </w:p>
    <w:p w14:paraId="0E6A2DC1">
      <w:pPr>
        <w:spacing w:before="57" w:line="364" w:lineRule="auto"/>
        <w:ind w:left="23" w:right="156" w:firstLine="648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pacing w:val="21"/>
          <w:sz w:val="31"/>
          <w:szCs w:val="31"/>
        </w:rPr>
        <w:t>公务用车购置及运行费预算为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4.8</w:t>
      </w:r>
      <w:r>
        <w:rPr>
          <w:rFonts w:ascii="仿宋" w:hAnsi="仿宋" w:eastAsia="仿宋" w:cs="仿宋"/>
          <w:spacing w:val="21"/>
          <w:sz w:val="31"/>
          <w:szCs w:val="31"/>
        </w:rPr>
        <w:t>万元</w:t>
      </w:r>
      <w:r>
        <w:rPr>
          <w:rFonts w:ascii="仿宋" w:hAnsi="仿宋" w:eastAsia="仿宋" w:cs="仿宋"/>
          <w:spacing w:val="20"/>
          <w:sz w:val="31"/>
          <w:szCs w:val="31"/>
        </w:rPr>
        <w:t>，支出决算为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4.78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。</w:t>
      </w:r>
    </w:p>
    <w:p w14:paraId="7BABE49B">
      <w:pPr>
        <w:spacing w:before="49" w:line="221" w:lineRule="auto"/>
        <w:ind w:left="666"/>
        <w:rPr>
          <w:rFonts w:ascii="仿宋" w:hAnsi="仿宋" w:eastAsia="仿宋" w:cs="仿宋"/>
          <w:color w:val="auto"/>
          <w:spacing w:val="4"/>
          <w:sz w:val="31"/>
          <w:szCs w:val="31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color w:val="auto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>万元。</w:t>
      </w:r>
    </w:p>
    <w:p w14:paraId="33D52820">
      <w:pPr>
        <w:spacing w:before="49" w:line="221" w:lineRule="auto"/>
        <w:ind w:left="666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4"/>
          <w:sz w:val="31"/>
          <w:szCs w:val="31"/>
        </w:rPr>
        <w:t xml:space="preserve">截至 </w:t>
      </w:r>
      <w:r>
        <w:rPr>
          <w:rFonts w:ascii="宋体" w:hAnsi="宋体" w:eastAsia="宋体" w:cs="宋体"/>
          <w:color w:val="auto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 xml:space="preserve">年 </w:t>
      </w:r>
      <w:r>
        <w:rPr>
          <w:rFonts w:ascii="宋体" w:hAnsi="宋体" w:eastAsia="宋体" w:cs="宋体"/>
          <w:color w:val="auto"/>
          <w:spacing w:val="2"/>
          <w:sz w:val="31"/>
          <w:szCs w:val="31"/>
        </w:rPr>
        <w:t xml:space="preserve">12 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 xml:space="preserve">月 </w:t>
      </w:r>
      <w:r>
        <w:rPr>
          <w:rFonts w:ascii="宋体" w:hAnsi="宋体" w:eastAsia="宋体" w:cs="宋体"/>
          <w:color w:val="auto"/>
          <w:spacing w:val="2"/>
          <w:sz w:val="31"/>
          <w:szCs w:val="31"/>
        </w:rPr>
        <w:t xml:space="preserve">31 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日，公务用车保有量为</w:t>
      </w:r>
      <w:r>
        <w:rPr>
          <w:rFonts w:hint="eastAsia" w:ascii="仿宋" w:hAnsi="仿宋" w:eastAsia="仿宋" w:cs="仿宋"/>
          <w:color w:val="auto"/>
          <w:spacing w:val="2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辆</w:t>
      </w:r>
      <w:r>
        <w:rPr>
          <w:rFonts w:ascii="宋体" w:hAnsi="宋体" w:eastAsia="宋体" w:cs="宋体"/>
          <w:color w:val="auto"/>
          <w:spacing w:val="2"/>
          <w:sz w:val="31"/>
          <w:szCs w:val="31"/>
        </w:rPr>
        <w:t>,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公务用车购置数</w:t>
      </w:r>
      <w:r>
        <w:rPr>
          <w:rFonts w:ascii="仿宋" w:hAnsi="仿宋" w:eastAsia="仿宋" w:cs="仿宋"/>
          <w:color w:val="auto"/>
          <w:spacing w:val="-15"/>
          <w:sz w:val="31"/>
          <w:szCs w:val="31"/>
        </w:rPr>
        <w:t>为</w:t>
      </w:r>
      <w:r>
        <w:rPr>
          <w:rFonts w:hint="eastAsia" w:ascii="仿宋" w:hAnsi="仿宋" w:eastAsia="仿宋" w:cs="仿宋"/>
          <w:color w:val="auto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-15"/>
          <w:sz w:val="31"/>
          <w:szCs w:val="31"/>
        </w:rPr>
        <w:t>辆。</w:t>
      </w:r>
    </w:p>
    <w:p w14:paraId="7D45F064">
      <w:pPr>
        <w:spacing w:before="252" w:line="355" w:lineRule="auto"/>
        <w:ind w:left="41" w:right="157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注：公务用车购置及保有量要说明，没有的也要分别填</w:t>
      </w:r>
      <w:r>
        <w:rPr>
          <w:rFonts w:ascii="仿宋" w:hAnsi="仿宋" w:eastAsia="仿宋" w:cs="仿宋"/>
          <w:color w:val="FF0000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列</w:t>
      </w:r>
      <w:r>
        <w:rPr>
          <w:rFonts w:ascii="仿宋" w:hAnsi="仿宋" w:eastAsia="仿宋" w:cs="仿宋"/>
          <w:color w:val="FF0000"/>
          <w:spacing w:val="-58"/>
          <w:sz w:val="31"/>
          <w:szCs w:val="31"/>
        </w:rPr>
        <w:t xml:space="preserve"> </w:t>
      </w:r>
      <w:r>
        <w:rPr>
          <w:rFonts w:ascii="宋体" w:hAnsi="宋体" w:eastAsia="宋体" w:cs="宋体"/>
          <w:color w:val="FF0000"/>
          <w:spacing w:val="5"/>
          <w:sz w:val="31"/>
          <w:szCs w:val="31"/>
        </w:rPr>
        <w:t>0</w:t>
      </w:r>
      <w:r>
        <w:rPr>
          <w:rFonts w:ascii="宋体" w:hAnsi="宋体" w:eastAsia="宋体" w:cs="宋体"/>
          <w:color w:val="FF0000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辆或附说明无公务用车和本年度未购置公务用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车字样。</w:t>
      </w:r>
    </w:p>
    <w:p w14:paraId="30D4DE72">
      <w:pPr>
        <w:spacing w:before="54" w:line="221" w:lineRule="auto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4.75</w:t>
      </w:r>
      <w:r>
        <w:rPr>
          <w:rFonts w:ascii="仿宋" w:hAnsi="仿宋" w:eastAsia="仿宋" w:cs="仿宋"/>
          <w:spacing w:val="3"/>
          <w:sz w:val="31"/>
          <w:szCs w:val="31"/>
        </w:rPr>
        <w:t>万元，主要是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维修养护及其相关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 w14:paraId="65A86E0F"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7" w:h="16839"/>
          <w:pgMar w:top="1431" w:right="1642" w:bottom="1153" w:left="1785" w:header="0" w:footer="965" w:gutter="0"/>
          <w:cols w:space="720" w:num="1"/>
        </w:sectPr>
      </w:pPr>
    </w:p>
    <w:p w14:paraId="74924F3C">
      <w:pPr>
        <w:spacing w:before="160" w:line="364" w:lineRule="auto"/>
        <w:ind w:left="21" w:right="3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公务接待费预算为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万元，完成预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算的 </w:t>
      </w:r>
      <w:r>
        <w:rPr>
          <w:rFonts w:hint="eastAsia" w:ascii="仿宋" w:hAnsi="仿宋" w:eastAsia="仿宋" w:cs="仿宋"/>
          <w:spacing w:val="-1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-17"/>
          <w:sz w:val="31"/>
          <w:szCs w:val="31"/>
        </w:rPr>
        <w:t>；较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7"/>
          <w:sz w:val="31"/>
          <w:szCs w:val="31"/>
        </w:rPr>
        <w:t>2022</w:t>
      </w:r>
      <w:r>
        <w:rPr>
          <w:rFonts w:ascii="宋体" w:hAnsi="宋体" w:eastAsia="宋体" w:cs="宋体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年度增加（减少） </w:t>
      </w:r>
      <w:r>
        <w:rPr>
          <w:rFonts w:hint="eastAsia" w:ascii="仿宋" w:hAnsi="仿宋" w:eastAsia="仿宋" w:cs="仿宋"/>
          <w:spacing w:val="-1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7"/>
          <w:sz w:val="31"/>
          <w:szCs w:val="31"/>
        </w:rPr>
        <w:t>万元，增长（下降）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-1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主要原因是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…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…。决算数大（小）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于预算数的主要原因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是</w:t>
      </w:r>
      <w:r>
        <w:rPr>
          <w:rFonts w:ascii="仿宋" w:hAnsi="仿宋" w:eastAsia="仿宋" w:cs="仿宋"/>
          <w:spacing w:val="-9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…</w:t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>…。其中：</w:t>
      </w:r>
    </w:p>
    <w:p w14:paraId="73C75E37">
      <w:pPr>
        <w:spacing w:before="52" w:line="361" w:lineRule="auto"/>
        <w:ind w:left="33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外事接待费支出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 万元。主要用于……。全年共接</w:t>
      </w:r>
      <w:r>
        <w:rPr>
          <w:rFonts w:ascii="仿宋" w:hAnsi="仿宋" w:eastAsia="仿宋" w:cs="仿宋"/>
          <w:spacing w:val="7"/>
          <w:sz w:val="31"/>
          <w:szCs w:val="31"/>
        </w:rPr>
        <w:t>待外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事来访团组数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个、来访外宾  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人次（不包括陪同人员）。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来访外宾主要包括</w:t>
      </w:r>
      <w:r>
        <w:rPr>
          <w:rFonts w:ascii="仿宋" w:hAnsi="仿宋" w:eastAsia="仿宋" w:cs="仿宋"/>
          <w:spacing w:val="-9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…。</w:t>
      </w:r>
    </w:p>
    <w:p w14:paraId="5BD9C827">
      <w:pPr>
        <w:spacing w:before="53" w:line="362" w:lineRule="auto"/>
        <w:ind w:left="26" w:right="90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 xml:space="preserve">其他国内公务接待支出 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万元。主要用于……。全年共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接待国内来访团组</w:t>
      </w:r>
      <w:r>
        <w:rPr>
          <w:rFonts w:ascii="仿宋" w:hAnsi="仿宋" w:eastAsia="仿宋" w:cs="仿宋"/>
          <w:spacing w:val="33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2"/>
          <w:sz w:val="31"/>
          <w:szCs w:val="31"/>
        </w:rPr>
        <w:t>个、来宾</w:t>
      </w:r>
      <w:r>
        <w:rPr>
          <w:rFonts w:ascii="仿宋" w:hAnsi="仿宋" w:eastAsia="仿宋" w:cs="仿宋"/>
          <w:spacing w:val="34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pacing w:val="3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人次（不包括陪同人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员） 。</w:t>
      </w:r>
    </w:p>
    <w:p w14:paraId="167D758C">
      <w:pPr>
        <w:spacing w:before="47" w:line="355" w:lineRule="auto"/>
        <w:ind w:left="25" w:right="89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注：要说明国内公务接待的批次和人数，没有的也要分</w:t>
      </w:r>
      <w:r>
        <w:rPr>
          <w:rFonts w:ascii="仿宋" w:hAnsi="仿宋" w:eastAsia="仿宋" w:cs="仿宋"/>
          <w:color w:val="FF0000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别填列</w:t>
      </w:r>
      <w:r>
        <w:rPr>
          <w:rFonts w:ascii="仿宋" w:hAnsi="仿宋" w:eastAsia="仿宋" w:cs="仿宋"/>
          <w:color w:val="FF0000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color w:val="FF0000"/>
          <w:spacing w:val="4"/>
          <w:sz w:val="31"/>
          <w:szCs w:val="31"/>
        </w:rPr>
        <w:t>0</w:t>
      </w:r>
      <w:r>
        <w:rPr>
          <w:rFonts w:ascii="宋体" w:hAnsi="宋体" w:eastAsia="宋体" w:cs="宋体"/>
          <w:color w:val="FF0000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个和</w:t>
      </w:r>
      <w:r>
        <w:rPr>
          <w:rFonts w:ascii="仿宋" w:hAnsi="仿宋" w:eastAsia="仿宋" w:cs="仿宋"/>
          <w:color w:val="FF0000"/>
          <w:spacing w:val="-58"/>
          <w:sz w:val="31"/>
          <w:szCs w:val="31"/>
        </w:rPr>
        <w:t xml:space="preserve"> </w:t>
      </w:r>
      <w:r>
        <w:rPr>
          <w:rFonts w:ascii="宋体" w:hAnsi="宋体" w:eastAsia="宋体" w:cs="宋体"/>
          <w:color w:val="FF0000"/>
          <w:spacing w:val="4"/>
          <w:sz w:val="31"/>
          <w:szCs w:val="31"/>
        </w:rPr>
        <w:t>0</w:t>
      </w:r>
      <w:r>
        <w:rPr>
          <w:rFonts w:ascii="宋体" w:hAnsi="宋体" w:eastAsia="宋体" w:cs="宋体"/>
          <w:color w:val="FF0000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4"/>
          <w:sz w:val="31"/>
          <w:szCs w:val="31"/>
        </w:rPr>
        <w:t>人或附说明无公务接待批次和人数字样。</w:t>
      </w:r>
    </w:p>
    <w:p w14:paraId="5EC9158C">
      <w:pPr>
        <w:pStyle w:val="2"/>
        <w:spacing w:line="287" w:lineRule="auto"/>
      </w:pPr>
    </w:p>
    <w:p w14:paraId="3215579C">
      <w:pPr>
        <w:pStyle w:val="2"/>
        <w:spacing w:line="287" w:lineRule="auto"/>
      </w:pPr>
    </w:p>
    <w:p w14:paraId="70E07C8B">
      <w:pPr>
        <w:spacing w:before="101" w:line="224" w:lineRule="auto"/>
        <w:ind w:left="75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2023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年度绩效评价情况说明</w:t>
      </w:r>
    </w:p>
    <w:p w14:paraId="428B0B18">
      <w:pPr>
        <w:spacing w:before="252" w:line="364" w:lineRule="auto"/>
        <w:ind w:left="23" w:right="102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一）绩效评价工作开展情况。绩效评价工作开展情况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说明为：根据预算绩效管理要求，本部门组织对 </w:t>
      </w:r>
      <w:r>
        <w:rPr>
          <w:rFonts w:ascii="宋体" w:hAnsi="宋体" w:eastAsia="宋体" w:cs="宋体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年度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一般公共预算项目支出全面开展绩效自评，其中，一级项目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1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个，二级项目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42</w:t>
      </w:r>
      <w:r>
        <w:rPr>
          <w:rFonts w:ascii="仿宋" w:hAnsi="仿宋" w:eastAsia="仿宋" w:cs="仿宋"/>
          <w:spacing w:val="1"/>
          <w:sz w:val="31"/>
          <w:szCs w:val="31"/>
        </w:rPr>
        <w:t>个，共涉及资金</w:t>
      </w:r>
      <w:r>
        <w:rPr>
          <w:rFonts w:hint="eastAsia" w:ascii="仿宋" w:hAnsi="仿宋" w:eastAsia="仿宋" w:cs="仿宋"/>
          <w:spacing w:val="-22"/>
          <w:sz w:val="31"/>
          <w:szCs w:val="31"/>
          <w:lang w:val="en-US" w:eastAsia="zh-CN"/>
        </w:rPr>
        <w:t>1303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占一般公共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预算项目支出总额的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55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。组织对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宋体" w:hAnsi="宋体" w:eastAsia="宋体" w:cs="宋体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z w:val="31"/>
          <w:szCs w:val="31"/>
          <w:lang w:eastAsia="zh-CN"/>
        </w:rPr>
        <w:t>清雪项目</w:t>
      </w:r>
      <w:r>
        <w:rPr>
          <w:rFonts w:ascii="仿宋" w:hAnsi="仿宋" w:eastAsia="仿宋" w:cs="仿宋"/>
          <w:spacing w:val="6"/>
          <w:sz w:val="31"/>
          <w:szCs w:val="31"/>
        </w:rPr>
        <w:t>等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政府性基金预算项目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42个</w:t>
      </w:r>
      <w:r>
        <w:rPr>
          <w:rFonts w:ascii="仿宋" w:hAnsi="仿宋" w:eastAsia="仿宋" w:cs="仿宋"/>
          <w:spacing w:val="4"/>
          <w:sz w:val="31"/>
          <w:szCs w:val="31"/>
        </w:rPr>
        <w:t>开展绩效自评，共涉及资金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1303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占政府性基金预算项目支出总额的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55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52ACE703">
      <w:pPr>
        <w:spacing w:before="49" w:line="221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注：请对绩效评价情况进行简要说明。</w:t>
      </w:r>
    </w:p>
    <w:p w14:paraId="452ED05B">
      <w:pPr>
        <w:spacing w:before="51" w:line="221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注：请对单位整体支出绩效评价情况进行简要说明。</w:t>
      </w:r>
    </w:p>
    <w:p w14:paraId="25D4DD81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（二）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项目绩效自评结果（如有）。除涉密敏感内容外，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省级部门原则上应予以公开。按照如下格式说明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</w:rPr>
        <w:t>:</w:t>
      </w:r>
    </w:p>
    <w:p w14:paraId="0679D73A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z w:val="31"/>
          <w:szCs w:val="31"/>
        </w:rPr>
        <w:t>XXX</w:t>
      </w:r>
      <w:r>
        <w:rPr>
          <w:rFonts w:ascii="宋体" w:hAnsi="宋体" w:eastAsia="宋体" w:cs="宋体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</w:rPr>
        <w:t>标，项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目绩效自评得分为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XX</w:t>
      </w:r>
      <w:r>
        <w:rPr>
          <w:rFonts w:ascii="宋体" w:hAnsi="宋体" w:eastAsia="宋体" w:cs="宋体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分。项目全年预算数为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XX</w:t>
      </w:r>
      <w:r>
        <w:rPr>
          <w:rFonts w:ascii="宋体" w:hAnsi="宋体" w:eastAsia="宋体" w:cs="宋体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万元，执行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数为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XX</w:t>
      </w:r>
      <w:r>
        <w:rPr>
          <w:rFonts w:ascii="宋体" w:hAnsi="宋体" w:eastAsia="宋体" w:cs="宋体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万元，完成预算的</w:t>
      </w:r>
      <w:r>
        <w:rPr>
          <w:rFonts w:ascii="宋体" w:hAnsi="宋体" w:eastAsia="宋体" w:cs="宋体"/>
          <w:sz w:val="31"/>
          <w:szCs w:val="31"/>
        </w:rPr>
        <w:t>XX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。项目绩效目标完成情况：一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是……；二是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…</w:t>
      </w:r>
      <w:r>
        <w:rPr>
          <w:rFonts w:ascii="仿宋" w:hAnsi="仿宋" w:eastAsia="仿宋" w:cs="仿宋"/>
          <w:spacing w:val="-1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。发现的主要问题及原因：一是</w:t>
      </w:r>
      <w:r>
        <w:rPr>
          <w:rFonts w:ascii="仿宋" w:hAnsi="仿宋" w:eastAsia="仿宋" w:cs="仿宋"/>
          <w:spacing w:val="-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…</w:t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…；二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是……。下一步改进措施：一是……；二是</w:t>
      </w:r>
      <w:r>
        <w:rPr>
          <w:rFonts w:ascii="仿宋" w:hAnsi="仿宋" w:eastAsia="仿宋" w:cs="仿宋"/>
          <w:spacing w:val="-9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…</w:t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…。</w:t>
      </w:r>
    </w:p>
    <w:p w14:paraId="3B5E1873">
      <w:pPr>
        <w:spacing w:before="49" w:line="224" w:lineRule="auto"/>
        <w:ind w:left="66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>XXX</w:t>
      </w:r>
      <w:r>
        <w:rPr>
          <w:rFonts w:ascii="宋体" w:hAnsi="宋体" w:eastAsia="宋体" w:cs="宋体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项目绩效自评情况：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…。</w:t>
      </w:r>
    </w:p>
    <w:p w14:paraId="7C0283E4">
      <w:pPr>
        <w:spacing w:before="250" w:line="364" w:lineRule="auto"/>
        <w:ind w:left="34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（三）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部门评价结果（如有）。除涉密敏感内容外，省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级部门原则上应将部门评价结果以报告的形式予以公开。报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告框架可参考《项目支出绩效评价管理办法》（吉财绩〔</w:t>
      </w:r>
      <w:r>
        <w:rPr>
          <w:rFonts w:ascii="宋体" w:hAnsi="宋体" w:eastAsia="宋体" w:cs="宋体"/>
          <w:spacing w:val="-10"/>
          <w:sz w:val="31"/>
          <w:szCs w:val="31"/>
        </w:rPr>
        <w:t>2022</w:t>
      </w:r>
      <w:r>
        <w:rPr>
          <w:rFonts w:ascii="仿宋" w:hAnsi="仿宋" w:eastAsia="仿宋" w:cs="仿宋"/>
          <w:spacing w:val="-10"/>
          <w:sz w:val="31"/>
          <w:szCs w:val="31"/>
        </w:rPr>
        <w:t>〕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</w:rPr>
        <w:t>711</w:t>
      </w:r>
      <w:r>
        <w:rPr>
          <w:rFonts w:ascii="宋体" w:hAnsi="宋体" w:eastAsia="宋体" w:cs="宋体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号）中的《项目支出绩效评价报告（参考提纲）》。</w:t>
      </w:r>
    </w:p>
    <w:p w14:paraId="2F192125">
      <w:pPr>
        <w:spacing w:line="364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7" w:h="16839"/>
          <w:pgMar w:top="1431" w:right="1694" w:bottom="1153" w:left="1785" w:header="0" w:footer="965" w:gutter="0"/>
          <w:cols w:space="720" w:num="1"/>
        </w:sectPr>
      </w:pPr>
    </w:p>
    <w:p w14:paraId="10F42813">
      <w:pPr>
        <w:pStyle w:val="2"/>
        <w:spacing w:line="339" w:lineRule="auto"/>
      </w:pPr>
    </w:p>
    <w:p w14:paraId="7F778F63">
      <w:pPr>
        <w:pStyle w:val="2"/>
        <w:spacing w:line="339" w:lineRule="auto"/>
      </w:pPr>
    </w:p>
    <w:p w14:paraId="527353B6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1F7D2684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一）机关运行经费执行情况说明</w:t>
      </w:r>
    </w:p>
    <w:p w14:paraId="6A789B5A">
      <w:pPr>
        <w:spacing w:before="251" w:line="357" w:lineRule="auto"/>
        <w:ind w:left="19" w:right="170" w:firstLine="652"/>
        <w:rPr>
          <w:rFonts w:hint="default" w:ascii="仿宋" w:hAnsi="仿宋" w:eastAsia="仿宋" w:cs="仿宋"/>
          <w:spacing w:val="-4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348.46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70万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67.65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24.09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，主要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是街道管理事务经费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.</w:t>
      </w:r>
    </w:p>
    <w:p w14:paraId="7158C248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7CA764D4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179.36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其中：政府采购货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物支出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67.31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万元、政府采购服务支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112.05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万元。授予中小企业合同金额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highlight w:val="none"/>
          <w:lang w:val="en-US" w:eastAsia="zh-CN"/>
        </w:rPr>
        <w:t>179.36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万元，</w:t>
      </w:r>
      <w:r>
        <w:rPr>
          <w:rFonts w:ascii="仿宋" w:hAnsi="仿宋" w:eastAsia="仿宋" w:cs="仿宋"/>
          <w:spacing w:val="-85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占政府采购支出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万元，</w:t>
      </w:r>
      <w:r>
        <w:rPr>
          <w:rFonts w:ascii="仿宋" w:hAnsi="仿宋" w:eastAsia="仿宋" w:cs="仿宋"/>
          <w:spacing w:val="-67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占授予中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；货物采购授予中小企业合同金额占货</w:t>
      </w:r>
      <w:r>
        <w:rPr>
          <w:rFonts w:ascii="仿宋" w:hAnsi="仿宋" w:eastAsia="仿宋" w:cs="仿宋"/>
          <w:spacing w:val="14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，工程采购授予中小企业合同金额占工程支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出金额的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，服务采购授予中小企业合同金额占服务支出金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。。</w:t>
      </w:r>
    </w:p>
    <w:p w14:paraId="2B527045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（三）国有资产占用情况说明</w:t>
      </w:r>
      <w:bookmarkStart w:id="0" w:name="_GoBack"/>
      <w:bookmarkEnd w:id="0"/>
    </w:p>
    <w:p w14:paraId="1DFC5B71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z w:val="31"/>
          <w:szCs w:val="31"/>
          <w:highlight w:val="none"/>
        </w:rPr>
        <w:t>截至</w:t>
      </w:r>
      <w:r>
        <w:rPr>
          <w:rFonts w:ascii="仿宋" w:hAnsi="仿宋" w:eastAsia="仿宋" w:cs="仿宋"/>
          <w:spacing w:val="-33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z w:val="31"/>
          <w:szCs w:val="31"/>
          <w:highlight w:val="none"/>
        </w:rPr>
        <w:t>2023</w:t>
      </w:r>
      <w:r>
        <w:rPr>
          <w:rFonts w:ascii="宋体" w:hAnsi="宋体" w:eastAsia="宋体" w:cs="宋体"/>
          <w:spacing w:val="-33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年 </w:t>
      </w:r>
      <w:r>
        <w:rPr>
          <w:rFonts w:ascii="宋体" w:hAnsi="宋体" w:eastAsia="宋体" w:cs="宋体"/>
          <w:sz w:val="31"/>
          <w:szCs w:val="31"/>
          <w:highlight w:val="none"/>
        </w:rPr>
        <w:t xml:space="preserve">12 </w:t>
      </w:r>
      <w:r>
        <w:rPr>
          <w:rFonts w:ascii="仿宋" w:hAnsi="仿宋" w:eastAsia="仿宋" w:cs="仿宋"/>
          <w:sz w:val="31"/>
          <w:szCs w:val="31"/>
          <w:highlight w:val="none"/>
        </w:rPr>
        <w:t>月</w:t>
      </w:r>
      <w:r>
        <w:rPr>
          <w:rFonts w:ascii="仿宋" w:hAnsi="仿宋" w:eastAsia="仿宋" w:cs="仿宋"/>
          <w:spacing w:val="-31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z w:val="31"/>
          <w:szCs w:val="31"/>
          <w:highlight w:val="none"/>
        </w:rPr>
        <w:t xml:space="preserve">31 </w:t>
      </w:r>
      <w:r>
        <w:rPr>
          <w:rFonts w:ascii="仿宋" w:hAnsi="仿宋" w:eastAsia="仿宋" w:cs="仿宋"/>
          <w:sz w:val="31"/>
          <w:szCs w:val="31"/>
          <w:highlight w:val="none"/>
        </w:rPr>
        <w:t>日，</w:t>
      </w:r>
      <w:r>
        <w:rPr>
          <w:rFonts w:hint="eastAsia" w:ascii="宋体" w:hAnsi="宋体" w:eastAsia="宋体" w:cs="宋体"/>
          <w:sz w:val="31"/>
          <w:szCs w:val="31"/>
          <w:highlight w:val="none"/>
          <w:lang w:eastAsia="zh-CN"/>
        </w:rPr>
        <w:t>长春市南关区明珠街道办事处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共有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车辆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3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辆，其中，副部（省）级及以上领导用车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辆、主</w:t>
      </w:r>
      <w:r>
        <w:rPr>
          <w:rFonts w:ascii="仿宋" w:hAnsi="仿宋" w:eastAsia="仿宋" w:cs="仿宋"/>
          <w:spacing w:val="17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要负责人用车</w:t>
      </w:r>
      <w:r>
        <w:rPr>
          <w:rFonts w:hint="eastAsia" w:ascii="仿宋" w:hAnsi="仿宋" w:eastAsia="仿宋" w:cs="仿宋"/>
          <w:spacing w:val="-56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辆、机要通信用车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0</w:t>
      </w:r>
      <w:r>
        <w:rPr>
          <w:rFonts w:ascii="宋体" w:hAnsi="宋体" w:eastAsia="宋体" w:cs="宋体"/>
          <w:spacing w:val="-62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辆、应急保障用车</w:t>
      </w:r>
      <w:r>
        <w:rPr>
          <w:rFonts w:ascii="仿宋" w:hAnsi="仿宋" w:eastAsia="仿宋" w:cs="仿宋"/>
          <w:spacing w:val="-64"/>
          <w:sz w:val="31"/>
          <w:szCs w:val="31"/>
          <w:highlight w:val="none"/>
        </w:rPr>
        <w:t xml:space="preserve"> </w:t>
      </w:r>
      <w:r>
        <w:rPr>
          <w:rFonts w:hint="eastAsia" w:ascii="仿宋" w:hAnsi="仿宋" w:eastAsia="仿宋" w:cs="仿宋"/>
          <w:spacing w:val="-64"/>
          <w:sz w:val="31"/>
          <w:szCs w:val="31"/>
          <w:highlight w:val="none"/>
          <w:lang w:val="en-US" w:eastAsia="zh-CN"/>
        </w:rPr>
        <w:t>1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辆、执法执勤用车</w:t>
      </w: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辆、特种专业技术用车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辆</w:t>
      </w:r>
      <w:r>
        <w:rPr>
          <w:rFonts w:ascii="仿宋" w:hAnsi="仿宋" w:eastAsia="仿宋" w:cs="仿宋"/>
          <w:spacing w:val="11"/>
          <w:sz w:val="31"/>
          <w:szCs w:val="31"/>
          <w:highlight w:val="none"/>
        </w:rPr>
        <w:t>、离退休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干部用车</w:t>
      </w:r>
      <w:r>
        <w:rPr>
          <w:rFonts w:ascii="仿宋" w:hAnsi="仿宋" w:eastAsia="仿宋" w:cs="仿宋"/>
          <w:spacing w:val="-67"/>
          <w:sz w:val="31"/>
          <w:szCs w:val="31"/>
          <w:highlight w:val="none"/>
        </w:rPr>
        <w:t xml:space="preserve"> 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辆、其他用车</w:t>
      </w:r>
      <w:r>
        <w:rPr>
          <w:rFonts w:hint="eastAsia" w:ascii="仿宋" w:hAnsi="仿宋" w:eastAsia="仿宋" w:cs="仿宋"/>
          <w:spacing w:val="-67"/>
          <w:sz w:val="31"/>
          <w:szCs w:val="31"/>
          <w:highlight w:val="none"/>
          <w:lang w:val="en-US" w:eastAsia="zh-CN"/>
        </w:rPr>
        <w:t xml:space="preserve">2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辆；单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位价值</w:t>
      </w:r>
      <w:r>
        <w:rPr>
          <w:rFonts w:ascii="仿宋" w:hAnsi="仿宋" w:eastAsia="仿宋" w:cs="仿宋"/>
          <w:spacing w:val="-25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  <w:highlight w:val="none"/>
        </w:rPr>
        <w:t>100</w:t>
      </w:r>
      <w:r>
        <w:rPr>
          <w:rFonts w:ascii="宋体" w:hAnsi="宋体" w:eastAsia="宋体" w:cs="宋体"/>
          <w:spacing w:val="-47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万元（含）以上设备（不含车辆）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台（套）。</w:t>
      </w:r>
    </w:p>
    <w:p w14:paraId="5C1586C5">
      <w:pPr>
        <w:spacing w:line="340" w:lineRule="auto"/>
        <w:rPr>
          <w:rFonts w:ascii="仿宋" w:hAnsi="仿宋" w:eastAsia="仿宋" w:cs="仿宋"/>
          <w:sz w:val="31"/>
          <w:szCs w:val="31"/>
          <w:highlight w:val="none"/>
        </w:rPr>
        <w:sectPr>
          <w:footerReference r:id="rId15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 w14:paraId="506C102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6EC89EF4">
      <w:pPr>
        <w:pStyle w:val="2"/>
        <w:spacing w:line="315" w:lineRule="auto"/>
      </w:pPr>
    </w:p>
    <w:p w14:paraId="3716CE7F">
      <w:pPr>
        <w:pStyle w:val="2"/>
        <w:spacing w:line="315" w:lineRule="auto"/>
      </w:pPr>
    </w:p>
    <w:p w14:paraId="2C773BB2">
      <w:pPr>
        <w:pStyle w:val="2"/>
        <w:spacing w:line="315" w:lineRule="auto"/>
      </w:pPr>
    </w:p>
    <w:p w14:paraId="20088177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5E8D87EF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63AC921C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4EFFAFA4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0E91FB4F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7E94ABE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1AA5B0F9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690EF1C9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14C92E6D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51A53993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7D1C912B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0B9DB099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350DD0E4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44EBDE6F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7A0AE477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4225628E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07EBFCBC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45F01481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54F3F46A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36B45B76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635C55B4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4595CD1E">
      <w:pPr>
        <w:spacing w:before="250" w:line="322" w:lineRule="auto"/>
        <w:ind w:left="43" w:right="9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十八、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******</w:t>
      </w:r>
      <w:r>
        <w:rPr>
          <w:rFonts w:ascii="仿宋" w:hAnsi="仿宋" w:eastAsia="仿宋" w:cs="仿宋"/>
          <w:spacing w:val="6"/>
          <w:sz w:val="31"/>
          <w:szCs w:val="31"/>
        </w:rPr>
        <w:t>（对部门使用的所有“项”级政府收支分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类科目，参照《</w:t>
      </w: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年政府收支分类科目》中的科目说明和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中央部门决算公开内容进行说明</w:t>
      </w:r>
      <w:r>
        <w:rPr>
          <w:rFonts w:ascii="仿宋" w:hAnsi="仿宋" w:eastAsia="仿宋" w:cs="仿宋"/>
          <w:spacing w:val="19"/>
          <w:sz w:val="31"/>
          <w:szCs w:val="31"/>
        </w:rPr>
        <w:t>）：</w:t>
      </w:r>
    </w:p>
    <w:p w14:paraId="65E591BE">
      <w:pPr>
        <w:spacing w:before="250" w:line="224" w:lineRule="auto"/>
        <w:ind w:left="6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十九、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…（同上）</w:t>
      </w:r>
    </w:p>
    <w:p w14:paraId="50CC81A7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注：</w:t>
      </w:r>
      <w:r>
        <w:rPr>
          <w:rFonts w:ascii="仿宋" w:hAnsi="仿宋" w:eastAsia="仿宋" w:cs="仿宋"/>
          <w:color w:val="FF0000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以上名词解释供参考，可以根据本单位实际情况进</w:t>
      </w:r>
      <w:r>
        <w:rPr>
          <w:rFonts w:ascii="仿宋" w:hAnsi="仿宋" w:eastAsia="仿宋" w:cs="仿宋"/>
          <w:color w:val="FF0000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行增减并重新编辑序号。</w:t>
      </w:r>
    </w:p>
    <w:sectPr>
      <w:footerReference r:id="rId18" w:type="default"/>
      <w:pgSz w:w="11907" w:h="16839"/>
      <w:pgMar w:top="1431" w:right="1705" w:bottom="1153" w:left="1785" w:header="0" w:footer="965" w:gutter="0"/>
      <w:cols w:space="720" w:num="1"/>
    </w:sectPr>
  </w:body>
</w:document>
</file>