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60C114">
      <w:pPr>
        <w:spacing w:before="180" w:line="219" w:lineRule="auto"/>
        <w:ind w:left="47" w:firstLine="496"/>
        <w:rPr>
          <w:rFonts w:ascii="宋体" w:hAnsi="宋体" w:eastAsia="宋体" w:cs="宋体"/>
          <w:sz w:val="28"/>
          <w:szCs w:val="28"/>
        </w:rPr>
      </w:pPr>
      <w:r>
        <w:rPr>
          <w:rFonts w:ascii="宋体" w:hAnsi="宋体" w:eastAsia="宋体" w:cs="宋体"/>
          <w:spacing w:val="-16"/>
          <w:sz w:val="28"/>
          <w:szCs w:val="28"/>
        </w:rPr>
        <w:t>附件1：</w:t>
      </w:r>
    </w:p>
    <w:p w14:paraId="1701FADA">
      <w:pPr>
        <w:pStyle w:val="2"/>
        <w:spacing w:line="251" w:lineRule="auto"/>
        <w:ind w:firstLine="420"/>
        <w:rPr>
          <w:lang w:eastAsia="zh-CN"/>
        </w:rPr>
      </w:pPr>
    </w:p>
    <w:p w14:paraId="6902168D">
      <w:pPr>
        <w:pStyle w:val="2"/>
        <w:spacing w:line="251" w:lineRule="auto"/>
        <w:ind w:firstLine="420"/>
        <w:rPr>
          <w:lang w:eastAsia="zh-CN"/>
        </w:rPr>
      </w:pPr>
    </w:p>
    <w:p w14:paraId="33BB92DB">
      <w:pPr>
        <w:pStyle w:val="2"/>
        <w:keepNext w:val="0"/>
        <w:keepLines w:val="0"/>
        <w:pageBreakBefore w:val="0"/>
        <w:wordWrap/>
        <w:overflowPunct/>
        <w:topLinePunct w:val="0"/>
        <w:bidi w:val="0"/>
        <w:spacing w:line="252" w:lineRule="auto"/>
        <w:ind w:firstLine="420"/>
        <w:rPr>
          <w:lang w:eastAsia="zh-CN"/>
        </w:rPr>
      </w:pPr>
    </w:p>
    <w:p w14:paraId="396DCD10">
      <w:pPr>
        <w:pStyle w:val="2"/>
        <w:keepNext w:val="0"/>
        <w:keepLines w:val="0"/>
        <w:pageBreakBefore w:val="0"/>
        <w:wordWrap/>
        <w:overflowPunct/>
        <w:topLinePunct w:val="0"/>
        <w:bidi w:val="0"/>
        <w:spacing w:line="252" w:lineRule="auto"/>
        <w:ind w:firstLine="420"/>
        <w:rPr>
          <w:lang w:eastAsia="zh-CN"/>
        </w:rPr>
      </w:pPr>
    </w:p>
    <w:p w14:paraId="0BF0E132">
      <w:pPr>
        <w:pStyle w:val="2"/>
        <w:keepNext w:val="0"/>
        <w:keepLines w:val="0"/>
        <w:pageBreakBefore w:val="0"/>
        <w:wordWrap/>
        <w:overflowPunct/>
        <w:topLinePunct w:val="0"/>
        <w:bidi w:val="0"/>
        <w:spacing w:line="252" w:lineRule="auto"/>
        <w:ind w:firstLine="420"/>
        <w:rPr>
          <w:lang w:eastAsia="zh-CN"/>
        </w:rPr>
      </w:pPr>
    </w:p>
    <w:p w14:paraId="1B355CA4">
      <w:pPr>
        <w:pStyle w:val="2"/>
        <w:keepNext w:val="0"/>
        <w:keepLines w:val="0"/>
        <w:pageBreakBefore w:val="0"/>
        <w:wordWrap/>
        <w:overflowPunct/>
        <w:topLinePunct w:val="0"/>
        <w:bidi w:val="0"/>
        <w:spacing w:line="252" w:lineRule="auto"/>
        <w:ind w:firstLine="420"/>
        <w:rPr>
          <w:lang w:eastAsia="zh-CN"/>
        </w:rPr>
      </w:pPr>
    </w:p>
    <w:p w14:paraId="4730B9F9">
      <w:pPr>
        <w:pStyle w:val="2"/>
        <w:keepNext w:val="0"/>
        <w:keepLines w:val="0"/>
        <w:pageBreakBefore w:val="0"/>
        <w:wordWrap/>
        <w:overflowPunct/>
        <w:topLinePunct w:val="0"/>
        <w:bidi w:val="0"/>
        <w:spacing w:line="252" w:lineRule="auto"/>
        <w:ind w:firstLine="420"/>
        <w:rPr>
          <w:lang w:eastAsia="zh-CN"/>
        </w:rPr>
      </w:pPr>
    </w:p>
    <w:p w14:paraId="50042747">
      <w:pPr>
        <w:pStyle w:val="2"/>
        <w:keepNext w:val="0"/>
        <w:keepLines w:val="0"/>
        <w:pageBreakBefore w:val="0"/>
        <w:wordWrap/>
        <w:overflowPunct/>
        <w:topLinePunct w:val="0"/>
        <w:bidi w:val="0"/>
        <w:spacing w:line="252" w:lineRule="auto"/>
        <w:ind w:firstLine="420"/>
        <w:rPr>
          <w:lang w:eastAsia="zh-CN"/>
        </w:rPr>
      </w:pPr>
    </w:p>
    <w:p w14:paraId="4BFF7E51">
      <w:pPr>
        <w:pStyle w:val="2"/>
        <w:keepNext w:val="0"/>
        <w:keepLines w:val="0"/>
        <w:pageBreakBefore w:val="0"/>
        <w:wordWrap/>
        <w:overflowPunct/>
        <w:topLinePunct w:val="0"/>
        <w:bidi w:val="0"/>
        <w:spacing w:line="252" w:lineRule="auto"/>
        <w:ind w:firstLine="420"/>
        <w:rPr>
          <w:lang w:eastAsia="zh-CN"/>
        </w:rPr>
      </w:pPr>
    </w:p>
    <w:p w14:paraId="4AC4236E">
      <w:pPr>
        <w:pStyle w:val="2"/>
        <w:keepNext w:val="0"/>
        <w:keepLines w:val="0"/>
        <w:pageBreakBefore w:val="0"/>
        <w:wordWrap/>
        <w:overflowPunct/>
        <w:topLinePunct w:val="0"/>
        <w:bidi w:val="0"/>
        <w:spacing w:line="252" w:lineRule="auto"/>
        <w:ind w:firstLine="420"/>
        <w:rPr>
          <w:lang w:eastAsia="zh-CN"/>
        </w:rPr>
      </w:pPr>
    </w:p>
    <w:p w14:paraId="3EE3C37F">
      <w:pPr>
        <w:pStyle w:val="2"/>
        <w:keepNext w:val="0"/>
        <w:keepLines w:val="0"/>
        <w:pageBreakBefore w:val="0"/>
        <w:wordWrap/>
        <w:overflowPunct/>
        <w:topLinePunct w:val="0"/>
        <w:bidi w:val="0"/>
        <w:spacing w:line="252" w:lineRule="auto"/>
        <w:ind w:firstLine="420"/>
        <w:rPr>
          <w:lang w:eastAsia="zh-CN"/>
        </w:rPr>
      </w:pPr>
    </w:p>
    <w:p w14:paraId="43838E4B">
      <w:pPr>
        <w:pStyle w:val="2"/>
        <w:keepNext w:val="0"/>
        <w:keepLines w:val="0"/>
        <w:pageBreakBefore w:val="0"/>
        <w:wordWrap/>
        <w:overflowPunct/>
        <w:topLinePunct w:val="0"/>
        <w:bidi w:val="0"/>
        <w:spacing w:line="252" w:lineRule="auto"/>
        <w:ind w:firstLine="420"/>
        <w:rPr>
          <w:lang w:eastAsia="zh-CN"/>
        </w:rPr>
      </w:pPr>
    </w:p>
    <w:p w14:paraId="1072E113">
      <w:pPr>
        <w:pStyle w:val="2"/>
        <w:keepNext w:val="0"/>
        <w:keepLines w:val="0"/>
        <w:pageBreakBefore w:val="0"/>
        <w:wordWrap/>
        <w:overflowPunct/>
        <w:topLinePunct w:val="0"/>
        <w:bidi w:val="0"/>
        <w:spacing w:line="252" w:lineRule="auto"/>
        <w:ind w:firstLine="420"/>
        <w:rPr>
          <w:lang w:eastAsia="zh-CN"/>
        </w:rPr>
      </w:pPr>
    </w:p>
    <w:p w14:paraId="00CCCAF3">
      <w:pPr>
        <w:keepNext w:val="0"/>
        <w:keepLines w:val="0"/>
        <w:pageBreakBefore w:val="0"/>
        <w:wordWrap/>
        <w:overflowPunct/>
        <w:topLinePunct w:val="0"/>
        <w:bidi w:val="0"/>
        <w:spacing w:before="180" w:line="187" w:lineRule="auto"/>
        <w:ind w:firstLine="876"/>
        <w:jc w:val="center"/>
        <w:rPr>
          <w:rFonts w:ascii="微软雅黑" w:hAnsi="微软雅黑" w:eastAsia="微软雅黑" w:cs="微软雅黑"/>
          <w:sz w:val="42"/>
          <w:szCs w:val="42"/>
        </w:rPr>
      </w:pPr>
      <w:r>
        <w:rPr>
          <w:rFonts w:ascii="宋体" w:hAnsi="宋体" w:eastAsia="宋体" w:cs="宋体"/>
          <w:spacing w:val="4"/>
          <w:sz w:val="43"/>
          <w:szCs w:val="43"/>
        </w:rPr>
        <w:t>2023</w:t>
      </w:r>
      <w:r>
        <w:rPr>
          <w:rFonts w:ascii="微软雅黑" w:hAnsi="微软雅黑" w:eastAsia="微软雅黑" w:cs="微软雅黑"/>
          <w:spacing w:val="4"/>
          <w:sz w:val="42"/>
          <w:szCs w:val="42"/>
        </w:rPr>
        <w:t>年度</w:t>
      </w:r>
    </w:p>
    <w:p w14:paraId="1CAFC876">
      <w:pPr>
        <w:pStyle w:val="2"/>
        <w:keepNext w:val="0"/>
        <w:keepLines w:val="0"/>
        <w:pageBreakBefore w:val="0"/>
        <w:wordWrap/>
        <w:overflowPunct/>
        <w:topLinePunct w:val="0"/>
        <w:bidi w:val="0"/>
        <w:spacing w:line="477" w:lineRule="auto"/>
        <w:ind w:firstLine="420"/>
        <w:rPr>
          <w:lang w:eastAsia="zh-CN"/>
        </w:rPr>
      </w:pPr>
    </w:p>
    <w:p w14:paraId="60546883">
      <w:pPr>
        <w:keepNext w:val="0"/>
        <w:keepLines w:val="0"/>
        <w:pageBreakBefore w:val="0"/>
        <w:wordWrap/>
        <w:overflowPunct/>
        <w:topLinePunct w:val="0"/>
        <w:bidi w:val="0"/>
        <w:spacing w:before="189" w:line="181" w:lineRule="auto"/>
        <w:ind w:firstLine="1016"/>
        <w:jc w:val="center"/>
        <w:rPr>
          <w:rFonts w:ascii="微软雅黑" w:hAnsi="微软雅黑" w:eastAsia="微软雅黑" w:cs="微软雅黑"/>
          <w:spacing w:val="34"/>
          <w:sz w:val="44"/>
          <w:szCs w:val="44"/>
        </w:rPr>
      </w:pPr>
      <w:r>
        <w:rPr>
          <w:rFonts w:hint="eastAsia" w:ascii="微软雅黑" w:hAnsi="微软雅黑" w:eastAsia="微软雅黑" w:cs="微软雅黑"/>
          <w:spacing w:val="34"/>
          <w:sz w:val="44"/>
          <w:szCs w:val="44"/>
        </w:rPr>
        <w:t>长春市</w:t>
      </w:r>
      <w:r>
        <w:rPr>
          <w:rFonts w:ascii="微软雅黑" w:hAnsi="微软雅黑" w:eastAsia="微软雅黑" w:cs="微软雅黑"/>
          <w:spacing w:val="34"/>
          <w:sz w:val="44"/>
          <w:szCs w:val="44"/>
        </w:rPr>
        <w:t>南关区长通街道办事处部门决算</w:t>
      </w:r>
    </w:p>
    <w:p w14:paraId="281DAB92">
      <w:pPr>
        <w:pStyle w:val="2"/>
        <w:keepNext w:val="0"/>
        <w:keepLines w:val="0"/>
        <w:pageBreakBefore w:val="0"/>
        <w:wordWrap/>
        <w:overflowPunct/>
        <w:topLinePunct w:val="0"/>
        <w:bidi w:val="0"/>
        <w:spacing w:line="242" w:lineRule="auto"/>
        <w:ind w:firstLine="420"/>
        <w:rPr>
          <w:lang w:eastAsia="zh-CN"/>
        </w:rPr>
      </w:pPr>
    </w:p>
    <w:p w14:paraId="2781941E">
      <w:pPr>
        <w:pStyle w:val="2"/>
        <w:keepNext w:val="0"/>
        <w:keepLines w:val="0"/>
        <w:pageBreakBefore w:val="0"/>
        <w:wordWrap/>
        <w:overflowPunct/>
        <w:topLinePunct w:val="0"/>
        <w:bidi w:val="0"/>
        <w:spacing w:line="242" w:lineRule="auto"/>
        <w:ind w:firstLine="420"/>
        <w:rPr>
          <w:lang w:eastAsia="zh-CN"/>
        </w:rPr>
      </w:pPr>
    </w:p>
    <w:p w14:paraId="7B61E91A">
      <w:pPr>
        <w:pStyle w:val="2"/>
        <w:keepNext w:val="0"/>
        <w:keepLines w:val="0"/>
        <w:pageBreakBefore w:val="0"/>
        <w:wordWrap/>
        <w:overflowPunct/>
        <w:topLinePunct w:val="0"/>
        <w:bidi w:val="0"/>
        <w:spacing w:line="242" w:lineRule="auto"/>
        <w:ind w:firstLine="420"/>
        <w:rPr>
          <w:lang w:eastAsia="zh-CN"/>
        </w:rPr>
      </w:pPr>
    </w:p>
    <w:p w14:paraId="5B56AF80">
      <w:pPr>
        <w:pStyle w:val="2"/>
        <w:keepNext w:val="0"/>
        <w:keepLines w:val="0"/>
        <w:pageBreakBefore w:val="0"/>
        <w:wordWrap/>
        <w:overflowPunct/>
        <w:topLinePunct w:val="0"/>
        <w:bidi w:val="0"/>
        <w:spacing w:line="242" w:lineRule="auto"/>
        <w:ind w:firstLine="420"/>
        <w:rPr>
          <w:lang w:eastAsia="zh-CN"/>
        </w:rPr>
      </w:pPr>
    </w:p>
    <w:p w14:paraId="2B9FE8D6">
      <w:pPr>
        <w:pStyle w:val="2"/>
        <w:keepNext w:val="0"/>
        <w:keepLines w:val="0"/>
        <w:pageBreakBefore w:val="0"/>
        <w:wordWrap/>
        <w:overflowPunct/>
        <w:topLinePunct w:val="0"/>
        <w:bidi w:val="0"/>
        <w:spacing w:line="242" w:lineRule="auto"/>
        <w:ind w:firstLine="420"/>
        <w:rPr>
          <w:lang w:eastAsia="zh-CN"/>
        </w:rPr>
      </w:pPr>
    </w:p>
    <w:p w14:paraId="18BEDA4E">
      <w:pPr>
        <w:pStyle w:val="2"/>
        <w:keepNext w:val="0"/>
        <w:keepLines w:val="0"/>
        <w:pageBreakBefore w:val="0"/>
        <w:wordWrap/>
        <w:overflowPunct/>
        <w:topLinePunct w:val="0"/>
        <w:bidi w:val="0"/>
        <w:spacing w:line="242" w:lineRule="auto"/>
        <w:ind w:firstLine="420"/>
        <w:rPr>
          <w:lang w:eastAsia="zh-CN"/>
        </w:rPr>
      </w:pPr>
    </w:p>
    <w:p w14:paraId="4CB88DA9">
      <w:pPr>
        <w:pStyle w:val="2"/>
        <w:keepNext w:val="0"/>
        <w:keepLines w:val="0"/>
        <w:pageBreakBefore w:val="0"/>
        <w:wordWrap/>
        <w:overflowPunct/>
        <w:topLinePunct w:val="0"/>
        <w:bidi w:val="0"/>
        <w:spacing w:line="242" w:lineRule="auto"/>
        <w:ind w:firstLine="420"/>
        <w:rPr>
          <w:lang w:eastAsia="zh-CN"/>
        </w:rPr>
      </w:pPr>
    </w:p>
    <w:p w14:paraId="7A764725">
      <w:pPr>
        <w:pStyle w:val="2"/>
        <w:keepNext w:val="0"/>
        <w:keepLines w:val="0"/>
        <w:pageBreakBefore w:val="0"/>
        <w:wordWrap/>
        <w:overflowPunct/>
        <w:topLinePunct w:val="0"/>
        <w:bidi w:val="0"/>
        <w:spacing w:line="242" w:lineRule="auto"/>
        <w:ind w:firstLine="420"/>
        <w:rPr>
          <w:lang w:eastAsia="zh-CN"/>
        </w:rPr>
      </w:pPr>
    </w:p>
    <w:p w14:paraId="781FEFD7">
      <w:pPr>
        <w:pStyle w:val="2"/>
        <w:keepNext w:val="0"/>
        <w:keepLines w:val="0"/>
        <w:pageBreakBefore w:val="0"/>
        <w:wordWrap/>
        <w:overflowPunct/>
        <w:topLinePunct w:val="0"/>
        <w:bidi w:val="0"/>
        <w:spacing w:line="242" w:lineRule="auto"/>
        <w:ind w:firstLine="420"/>
        <w:rPr>
          <w:lang w:eastAsia="zh-CN"/>
        </w:rPr>
      </w:pPr>
    </w:p>
    <w:p w14:paraId="585FE820">
      <w:pPr>
        <w:pStyle w:val="2"/>
        <w:keepNext w:val="0"/>
        <w:keepLines w:val="0"/>
        <w:pageBreakBefore w:val="0"/>
        <w:wordWrap/>
        <w:overflowPunct/>
        <w:topLinePunct w:val="0"/>
        <w:bidi w:val="0"/>
        <w:spacing w:line="242" w:lineRule="auto"/>
        <w:ind w:firstLine="420"/>
        <w:rPr>
          <w:lang w:eastAsia="zh-CN"/>
        </w:rPr>
      </w:pPr>
    </w:p>
    <w:p w14:paraId="089C81E1">
      <w:pPr>
        <w:pStyle w:val="2"/>
        <w:keepNext w:val="0"/>
        <w:keepLines w:val="0"/>
        <w:pageBreakBefore w:val="0"/>
        <w:wordWrap/>
        <w:overflowPunct/>
        <w:topLinePunct w:val="0"/>
        <w:bidi w:val="0"/>
        <w:spacing w:line="242" w:lineRule="auto"/>
        <w:ind w:firstLine="420"/>
        <w:rPr>
          <w:lang w:eastAsia="zh-CN"/>
        </w:rPr>
      </w:pPr>
    </w:p>
    <w:p w14:paraId="7D30DAA8">
      <w:pPr>
        <w:pStyle w:val="2"/>
        <w:keepNext w:val="0"/>
        <w:keepLines w:val="0"/>
        <w:pageBreakBefore w:val="0"/>
        <w:wordWrap/>
        <w:overflowPunct/>
        <w:topLinePunct w:val="0"/>
        <w:bidi w:val="0"/>
        <w:spacing w:line="243" w:lineRule="auto"/>
        <w:ind w:firstLine="420"/>
        <w:rPr>
          <w:lang w:eastAsia="zh-CN"/>
        </w:rPr>
      </w:pPr>
    </w:p>
    <w:p w14:paraId="7F789073">
      <w:pPr>
        <w:pStyle w:val="2"/>
        <w:keepNext w:val="0"/>
        <w:keepLines w:val="0"/>
        <w:pageBreakBefore w:val="0"/>
        <w:wordWrap/>
        <w:overflowPunct/>
        <w:topLinePunct w:val="0"/>
        <w:bidi w:val="0"/>
        <w:spacing w:line="243" w:lineRule="auto"/>
        <w:ind w:firstLine="420"/>
        <w:rPr>
          <w:lang w:eastAsia="zh-CN"/>
        </w:rPr>
      </w:pPr>
    </w:p>
    <w:p w14:paraId="4AE6E089">
      <w:pPr>
        <w:pStyle w:val="2"/>
        <w:keepNext w:val="0"/>
        <w:keepLines w:val="0"/>
        <w:pageBreakBefore w:val="0"/>
        <w:wordWrap/>
        <w:overflowPunct/>
        <w:topLinePunct w:val="0"/>
        <w:bidi w:val="0"/>
        <w:spacing w:line="243" w:lineRule="auto"/>
        <w:ind w:firstLine="420"/>
        <w:rPr>
          <w:lang w:eastAsia="zh-CN"/>
        </w:rPr>
      </w:pPr>
    </w:p>
    <w:p w14:paraId="64F88AFE">
      <w:pPr>
        <w:pStyle w:val="2"/>
        <w:keepNext w:val="0"/>
        <w:keepLines w:val="0"/>
        <w:pageBreakBefore w:val="0"/>
        <w:wordWrap/>
        <w:overflowPunct/>
        <w:topLinePunct w:val="0"/>
        <w:bidi w:val="0"/>
        <w:spacing w:line="243" w:lineRule="auto"/>
        <w:ind w:firstLine="420"/>
        <w:rPr>
          <w:lang w:eastAsia="zh-CN"/>
        </w:rPr>
      </w:pPr>
    </w:p>
    <w:p w14:paraId="69EF63C6">
      <w:pPr>
        <w:pStyle w:val="2"/>
        <w:keepNext w:val="0"/>
        <w:keepLines w:val="0"/>
        <w:pageBreakBefore w:val="0"/>
        <w:wordWrap/>
        <w:overflowPunct/>
        <w:topLinePunct w:val="0"/>
        <w:bidi w:val="0"/>
        <w:spacing w:line="243" w:lineRule="auto"/>
        <w:ind w:firstLine="420"/>
        <w:rPr>
          <w:lang w:eastAsia="zh-CN"/>
        </w:rPr>
      </w:pPr>
    </w:p>
    <w:p w14:paraId="6BDA1647">
      <w:pPr>
        <w:pStyle w:val="2"/>
        <w:keepNext w:val="0"/>
        <w:keepLines w:val="0"/>
        <w:pageBreakBefore w:val="0"/>
        <w:wordWrap/>
        <w:overflowPunct/>
        <w:topLinePunct w:val="0"/>
        <w:bidi w:val="0"/>
        <w:spacing w:line="243" w:lineRule="auto"/>
        <w:ind w:firstLine="420"/>
        <w:rPr>
          <w:lang w:eastAsia="zh-CN"/>
        </w:rPr>
      </w:pPr>
    </w:p>
    <w:p w14:paraId="6FE0B867">
      <w:pPr>
        <w:pStyle w:val="2"/>
        <w:keepNext w:val="0"/>
        <w:keepLines w:val="0"/>
        <w:pageBreakBefore w:val="0"/>
        <w:wordWrap/>
        <w:overflowPunct/>
        <w:topLinePunct w:val="0"/>
        <w:bidi w:val="0"/>
        <w:spacing w:line="243" w:lineRule="auto"/>
        <w:ind w:firstLine="420"/>
        <w:rPr>
          <w:lang w:eastAsia="zh-CN"/>
        </w:rPr>
      </w:pPr>
    </w:p>
    <w:p w14:paraId="087D73CF">
      <w:pPr>
        <w:pStyle w:val="2"/>
        <w:keepNext w:val="0"/>
        <w:keepLines w:val="0"/>
        <w:pageBreakBefore w:val="0"/>
        <w:wordWrap/>
        <w:overflowPunct/>
        <w:topLinePunct w:val="0"/>
        <w:bidi w:val="0"/>
        <w:spacing w:line="243" w:lineRule="auto"/>
        <w:ind w:firstLine="420"/>
        <w:rPr>
          <w:lang w:eastAsia="zh-CN"/>
        </w:rPr>
      </w:pPr>
    </w:p>
    <w:p w14:paraId="476F605A">
      <w:pPr>
        <w:pStyle w:val="2"/>
        <w:keepNext w:val="0"/>
        <w:keepLines w:val="0"/>
        <w:pageBreakBefore w:val="0"/>
        <w:wordWrap/>
        <w:overflowPunct/>
        <w:topLinePunct w:val="0"/>
        <w:bidi w:val="0"/>
        <w:spacing w:line="243" w:lineRule="auto"/>
        <w:ind w:firstLine="420"/>
        <w:rPr>
          <w:lang w:eastAsia="zh-CN"/>
        </w:rPr>
      </w:pPr>
    </w:p>
    <w:p w14:paraId="18CA7E3E">
      <w:pPr>
        <w:keepNext w:val="0"/>
        <w:keepLines w:val="0"/>
        <w:pageBreakBefore w:val="0"/>
        <w:wordWrap/>
        <w:overflowPunct/>
        <w:topLinePunct w:val="0"/>
        <w:bidi w:val="0"/>
        <w:spacing w:before="101" w:line="224" w:lineRule="auto"/>
        <w:ind w:left="2944" w:firstLine="596"/>
        <w:rPr>
          <w:rFonts w:ascii="仿宋" w:hAnsi="仿宋" w:eastAsia="仿宋" w:cs="仿宋"/>
          <w:sz w:val="31"/>
          <w:szCs w:val="31"/>
        </w:rPr>
      </w:pPr>
      <w:r>
        <w:rPr>
          <w:rFonts w:ascii="宋体" w:hAnsi="宋体" w:eastAsia="宋体" w:cs="宋体"/>
          <w:spacing w:val="-6"/>
          <w:sz w:val="31"/>
          <w:szCs w:val="31"/>
        </w:rPr>
        <w:t>2024</w:t>
      </w:r>
      <w:r>
        <w:rPr>
          <w:rFonts w:ascii="仿宋" w:hAnsi="仿宋" w:eastAsia="仿宋" w:cs="仿宋"/>
          <w:spacing w:val="-6"/>
          <w:sz w:val="31"/>
          <w:szCs w:val="31"/>
        </w:rPr>
        <w:t>年</w:t>
      </w:r>
      <w:r>
        <w:rPr>
          <w:rFonts w:ascii="仿宋" w:hAnsi="仿宋" w:cs="仿宋"/>
          <w:spacing w:val="-6"/>
          <w:sz w:val="31"/>
          <w:szCs w:val="31"/>
        </w:rPr>
        <w:t>9</w:t>
      </w:r>
      <w:r>
        <w:rPr>
          <w:rFonts w:ascii="仿宋" w:hAnsi="仿宋" w:eastAsia="仿宋" w:cs="仿宋"/>
          <w:spacing w:val="-6"/>
          <w:sz w:val="31"/>
          <w:szCs w:val="31"/>
        </w:rPr>
        <w:t>月</w:t>
      </w:r>
      <w:r>
        <w:rPr>
          <w:rFonts w:ascii="仿宋" w:hAnsi="仿宋" w:cs="仿宋"/>
          <w:spacing w:val="-6"/>
          <w:sz w:val="31"/>
          <w:szCs w:val="31"/>
        </w:rPr>
        <w:t>4</w:t>
      </w:r>
      <w:r>
        <w:rPr>
          <w:rFonts w:ascii="仿宋" w:hAnsi="仿宋" w:eastAsia="仿宋" w:cs="仿宋"/>
          <w:spacing w:val="-6"/>
          <w:sz w:val="31"/>
          <w:szCs w:val="31"/>
        </w:rPr>
        <w:t>日</w:t>
      </w:r>
    </w:p>
    <w:p w14:paraId="23B7F8B4">
      <w:pPr>
        <w:keepNext w:val="0"/>
        <w:keepLines w:val="0"/>
        <w:pageBreakBefore w:val="0"/>
        <w:wordWrap/>
        <w:overflowPunct/>
        <w:topLinePunct w:val="0"/>
        <w:bidi w:val="0"/>
        <w:spacing w:line="240" w:lineRule="auto"/>
        <w:ind w:firstLine="0" w:firstLineChars="0"/>
        <w:jc w:val="center"/>
        <w:rPr>
          <w:rFonts w:ascii="方正小标宋简体" w:hAnsi="方正小标宋简体" w:eastAsia="方正小标宋简体" w:cs="Times New Roman"/>
          <w:sz w:val="44"/>
          <w:szCs w:val="20"/>
        </w:rPr>
      </w:pPr>
    </w:p>
    <w:p w14:paraId="52BDF0A3">
      <w:pPr>
        <w:spacing w:line="240" w:lineRule="auto"/>
        <w:ind w:firstLine="0" w:firstLineChars="0"/>
        <w:jc w:val="center"/>
        <w:rPr>
          <w:rFonts w:ascii="方正小标宋简体" w:hAnsi="方正小标宋简体" w:eastAsia="方正小标宋简体" w:cs="Times New Roman"/>
          <w:sz w:val="44"/>
          <w:szCs w:val="20"/>
        </w:rPr>
      </w:pPr>
    </w:p>
    <w:p w14:paraId="4902C85E">
      <w:pPr>
        <w:spacing w:line="240" w:lineRule="auto"/>
        <w:ind w:firstLine="0" w:firstLineChars="0"/>
        <w:jc w:val="center"/>
        <w:rPr>
          <w:rFonts w:ascii="方正小标宋简体" w:hAnsi="方正小标宋简体" w:eastAsia="方正小标宋简体" w:cs="Times New Roman"/>
          <w:sz w:val="44"/>
          <w:szCs w:val="20"/>
        </w:rPr>
      </w:pPr>
    </w:p>
    <w:p w14:paraId="661AE761">
      <w:pPr>
        <w:spacing w:line="240" w:lineRule="auto"/>
        <w:ind w:firstLine="0" w:firstLineChars="0"/>
        <w:jc w:val="center"/>
        <w:rPr>
          <w:rFonts w:ascii="方正小标宋简体" w:hAnsi="方正小标宋简体" w:eastAsia="方正小标宋简体" w:cs="Times New Roman"/>
          <w:sz w:val="44"/>
          <w:szCs w:val="20"/>
        </w:rPr>
      </w:pPr>
      <w:r>
        <w:rPr>
          <w:rFonts w:hint="eastAsia" w:ascii="方正小标宋简体" w:hAnsi="方正小标宋简体" w:eastAsia="方正小标宋简体" w:cs="Times New Roman"/>
          <w:sz w:val="44"/>
          <w:szCs w:val="20"/>
        </w:rPr>
        <w:t>目录</w:t>
      </w:r>
    </w:p>
    <w:p w14:paraId="0BFE7F85">
      <w:pPr>
        <w:spacing w:line="240" w:lineRule="auto"/>
        <w:ind w:firstLine="0" w:firstLineChars="0"/>
        <w:jc w:val="left"/>
        <w:rPr>
          <w:rFonts w:ascii="方正小标宋简体" w:hAnsi="方正小标宋简体" w:eastAsia="方正小标宋简体" w:cs="Times New Roman"/>
          <w:sz w:val="32"/>
          <w:szCs w:val="32"/>
        </w:rPr>
      </w:pPr>
      <w:r>
        <w:rPr>
          <w:rFonts w:hint="eastAsia" w:ascii="方正小标宋简体" w:hAnsi="方正小标宋简体" w:eastAsia="方正小标宋简体" w:cs="Times New Roman"/>
          <w:sz w:val="32"/>
          <w:szCs w:val="32"/>
        </w:rPr>
        <w:t>第一部分部门概况</w:t>
      </w:r>
    </w:p>
    <w:p w14:paraId="4EEC368D">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一、部门职责</w:t>
      </w:r>
    </w:p>
    <w:p w14:paraId="49F105DE">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二、机构设置及部门决算单位构成</w:t>
      </w:r>
    </w:p>
    <w:p w14:paraId="0E792CE8">
      <w:pPr>
        <w:spacing w:line="240" w:lineRule="auto"/>
        <w:ind w:firstLine="0" w:firstLineChars="0"/>
        <w:jc w:val="left"/>
        <w:rPr>
          <w:rFonts w:ascii="方正小标宋简体" w:hAnsi="方正小标宋简体" w:eastAsia="方正小标宋简体" w:cs="Times New Roman"/>
          <w:sz w:val="32"/>
          <w:szCs w:val="32"/>
        </w:rPr>
      </w:pPr>
      <w:r>
        <w:rPr>
          <w:rFonts w:hint="eastAsia" w:ascii="方正小标宋简体" w:hAnsi="方正小标宋简体" w:eastAsia="方正小标宋简体" w:cs="Times New Roman"/>
          <w:sz w:val="32"/>
          <w:szCs w:val="32"/>
        </w:rPr>
        <w:t>第二部分2023年度部门决算表</w:t>
      </w:r>
    </w:p>
    <w:p w14:paraId="0B72DD2D">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一、收入支出决算总表</w:t>
      </w:r>
    </w:p>
    <w:p w14:paraId="28E66CF7">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二、收入决算表</w:t>
      </w:r>
    </w:p>
    <w:p w14:paraId="703496CF">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三、支出决算表</w:t>
      </w:r>
    </w:p>
    <w:p w14:paraId="1AF97DE5">
      <w:pPr>
        <w:spacing w:line="240" w:lineRule="auto"/>
        <w:ind w:firstLine="0" w:firstLineChars="0"/>
        <w:jc w:val="left"/>
        <w:rPr>
          <w:rFonts w:ascii="方正小标宋简体" w:hAnsi="方正小标宋简体" w:eastAsia="方正小标宋简体" w:cs="Times New Roman"/>
          <w:sz w:val="32"/>
          <w:szCs w:val="32"/>
        </w:rPr>
      </w:pPr>
      <w:r>
        <w:rPr>
          <w:rFonts w:hint="eastAsia" w:ascii="方正小标宋简体" w:hAnsi="方正小标宋简体" w:eastAsia="方正小标宋简体" w:cs="Times New Roman"/>
          <w:sz w:val="32"/>
          <w:szCs w:val="32"/>
        </w:rPr>
        <w:t>四、财政拨款收入支出决算总表</w:t>
      </w:r>
    </w:p>
    <w:p w14:paraId="149F60C1">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五、一般公共预算财政拨款支出决算表</w:t>
      </w:r>
    </w:p>
    <w:p w14:paraId="27E13241">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六、一般公共预算财政拨款基本支出决算明细表</w:t>
      </w:r>
    </w:p>
    <w:p w14:paraId="096E53F0">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七、政府性基金预算财政拨款收入支出决算表</w:t>
      </w:r>
    </w:p>
    <w:p w14:paraId="113586AB">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八、国有资本经营预算财政拨款支出决算表</w:t>
      </w:r>
    </w:p>
    <w:p w14:paraId="2ABEA0CD">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九、财政拨款“三公”经费支出决算表</w:t>
      </w:r>
    </w:p>
    <w:p w14:paraId="7413B457">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十、部门预算项目支出绩效自评表</w:t>
      </w:r>
    </w:p>
    <w:p w14:paraId="3B8C3305">
      <w:pPr>
        <w:spacing w:line="240" w:lineRule="auto"/>
        <w:ind w:firstLine="0" w:firstLineChars="0"/>
        <w:jc w:val="left"/>
        <w:rPr>
          <w:rFonts w:ascii="方正小标宋简体" w:hAnsi="方正小标宋简体" w:eastAsia="方正小标宋简体" w:cs="Times New Roman"/>
          <w:sz w:val="32"/>
          <w:szCs w:val="32"/>
        </w:rPr>
      </w:pPr>
      <w:r>
        <w:rPr>
          <w:rFonts w:hint="eastAsia" w:ascii="方正小标宋简体" w:hAnsi="方正小标宋简体" w:eastAsia="方正小标宋简体" w:cs="Times New Roman"/>
          <w:sz w:val="32"/>
          <w:szCs w:val="32"/>
        </w:rPr>
        <w:t>第三部分2023年度部门决算情况说明</w:t>
      </w:r>
    </w:p>
    <w:p w14:paraId="0A08CE1A">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一、收入支出决算总体情况说明</w:t>
      </w:r>
    </w:p>
    <w:p w14:paraId="5DB30E3A">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二、收入决算情况说明</w:t>
      </w:r>
    </w:p>
    <w:p w14:paraId="46624DD3">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三、支出决算情况说明</w:t>
      </w:r>
    </w:p>
    <w:p w14:paraId="68BD0643">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四、财政拨款收入支出决算总体情况说明</w:t>
      </w:r>
    </w:p>
    <w:p w14:paraId="0B945B3E">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五、一般公共预算财政拨款支出决算情况说明</w:t>
      </w:r>
    </w:p>
    <w:p w14:paraId="16D35A0A">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六、一般公共预算财政拨款基本支出决算情况说明</w:t>
      </w:r>
    </w:p>
    <w:p w14:paraId="3CC869C8">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七、政府性基金预算财政拨款收入支出决算情况说明</w:t>
      </w:r>
    </w:p>
    <w:p w14:paraId="0F5F82FA">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八、国有资本经营预算财政拨款支出决算情况说明</w:t>
      </w:r>
    </w:p>
    <w:p w14:paraId="22875D18">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九、财政拨款“三公”经费支出决算情况说明</w:t>
      </w:r>
    </w:p>
    <w:p w14:paraId="579C076F">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十、绩效评价情况说明</w:t>
      </w:r>
    </w:p>
    <w:p w14:paraId="5684D6BF">
      <w:pPr>
        <w:spacing w:line="240" w:lineRule="auto"/>
        <w:ind w:firstLine="0" w:firstLineChars="0"/>
        <w:rPr>
          <w:rFonts w:ascii="仿宋" w:hAnsi="仿宋" w:eastAsia="仿宋" w:cs="Times New Roman"/>
          <w:sz w:val="32"/>
          <w:szCs w:val="20"/>
        </w:rPr>
      </w:pPr>
      <w:r>
        <w:rPr>
          <w:rFonts w:hint="eastAsia" w:ascii="仿宋" w:hAnsi="仿宋" w:eastAsia="仿宋" w:cs="Times New Roman"/>
          <w:sz w:val="32"/>
          <w:szCs w:val="20"/>
        </w:rPr>
        <w:t>十一、其他重要事项情况说明</w:t>
      </w:r>
    </w:p>
    <w:p w14:paraId="0EA2F794">
      <w:pPr>
        <w:spacing w:line="240" w:lineRule="auto"/>
        <w:ind w:firstLine="0" w:firstLineChars="0"/>
        <w:jc w:val="left"/>
        <w:rPr>
          <w:rFonts w:ascii="方正小标宋简体" w:hAnsi="方正小标宋简体" w:eastAsia="方正小标宋简体" w:cs="Times New Roman"/>
          <w:sz w:val="32"/>
          <w:szCs w:val="32"/>
        </w:rPr>
      </w:pPr>
      <w:r>
        <w:rPr>
          <w:rFonts w:hint="eastAsia" w:ascii="方正小标宋简体" w:hAnsi="方正小标宋简体" w:eastAsia="方正小标宋简体" w:cs="Times New Roman"/>
          <w:sz w:val="32"/>
          <w:szCs w:val="32"/>
        </w:rPr>
        <w:t>第四部分名词解释</w:t>
      </w:r>
    </w:p>
    <w:p w14:paraId="3058BC76">
      <w:pPr>
        <w:spacing w:line="240" w:lineRule="auto"/>
        <w:ind w:firstLine="0" w:firstLineChars="0"/>
        <w:jc w:val="center"/>
        <w:rPr>
          <w:rFonts w:ascii="方正小标宋简体" w:hAnsi="方正小标宋简体" w:eastAsia="方正小标宋简体" w:cs="Times New Roman"/>
          <w:sz w:val="44"/>
          <w:szCs w:val="20"/>
        </w:rPr>
      </w:pPr>
    </w:p>
    <w:p w14:paraId="359C6978">
      <w:pPr>
        <w:spacing w:line="240" w:lineRule="auto"/>
        <w:ind w:firstLine="0" w:firstLineChars="0"/>
        <w:jc w:val="center"/>
        <w:rPr>
          <w:rFonts w:ascii="方正小标宋简体" w:hAnsi="方正小标宋简体" w:eastAsia="方正小标宋简体" w:cs="Times New Roman"/>
          <w:sz w:val="44"/>
          <w:szCs w:val="20"/>
        </w:rPr>
      </w:pPr>
    </w:p>
    <w:p w14:paraId="62F57C0E">
      <w:pPr>
        <w:spacing w:line="240" w:lineRule="auto"/>
        <w:ind w:firstLine="0" w:firstLineChars="0"/>
        <w:jc w:val="center"/>
        <w:rPr>
          <w:rFonts w:ascii="方正小标宋简体" w:hAnsi="方正小标宋简体" w:eastAsia="方正小标宋简体" w:cs="Times New Roman"/>
          <w:sz w:val="44"/>
          <w:szCs w:val="20"/>
        </w:rPr>
      </w:pPr>
    </w:p>
    <w:p w14:paraId="721183B3">
      <w:pPr>
        <w:spacing w:line="240" w:lineRule="auto"/>
        <w:ind w:firstLine="0" w:firstLineChars="0"/>
        <w:jc w:val="center"/>
        <w:rPr>
          <w:rFonts w:ascii="方正小标宋简体" w:hAnsi="方正小标宋简体" w:eastAsia="方正小标宋简体" w:cs="Times New Roman"/>
          <w:sz w:val="44"/>
          <w:szCs w:val="20"/>
        </w:rPr>
      </w:pPr>
      <w:r>
        <w:rPr>
          <w:rFonts w:ascii="方正小标宋简体" w:hAnsi="方正小标宋简体" w:eastAsia="方正小标宋简体" w:cs="Times New Roman"/>
          <w:sz w:val="44"/>
          <w:szCs w:val="20"/>
        </w:rPr>
        <w:t>第一部分部门概况</w:t>
      </w:r>
    </w:p>
    <w:p w14:paraId="33DEB4B3">
      <w:pPr>
        <w:pStyle w:val="2"/>
        <w:spacing w:line="314" w:lineRule="auto"/>
        <w:ind w:firstLine="420"/>
        <w:rPr>
          <w:lang w:eastAsia="zh-CN"/>
        </w:rPr>
      </w:pPr>
    </w:p>
    <w:p w14:paraId="631AEA15">
      <w:pPr>
        <w:ind w:firstLine="640"/>
        <w:rPr>
          <w:rFonts w:ascii="黑体" w:hAnsi="黑体" w:eastAsia="黑体" w:cs="Times New Roman"/>
          <w:sz w:val="32"/>
          <w:szCs w:val="30"/>
        </w:rPr>
      </w:pPr>
      <w:r>
        <w:rPr>
          <w:rFonts w:ascii="黑体" w:hAnsi="黑体" w:eastAsia="黑体" w:cs="Times New Roman"/>
          <w:sz w:val="32"/>
          <w:szCs w:val="30"/>
        </w:rPr>
        <w:t>一、部门主要职责</w:t>
      </w:r>
    </w:p>
    <w:p w14:paraId="2972C6D2">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（一）综合办公室。</w:t>
      </w:r>
    </w:p>
    <w:p w14:paraId="292F6A49">
      <w:pPr>
        <w:ind w:firstLine="640"/>
        <w:rPr>
          <w:rFonts w:ascii="仿宋" w:hAnsi="仿宋" w:eastAsia="仿宋" w:cs="Times New Roman"/>
          <w:sz w:val="32"/>
          <w:szCs w:val="30"/>
        </w:rPr>
      </w:pPr>
      <w:r>
        <w:rPr>
          <w:rFonts w:hint="eastAsia" w:ascii="仿宋" w:hAnsi="仿宋" w:eastAsia="仿宋" w:cs="Times New Roman"/>
          <w:sz w:val="32"/>
          <w:szCs w:val="30"/>
        </w:rPr>
        <w:t>负责机关日常运转，承担机关文电、会务、机要、保密、档案、检查督办、政务公开、公开电话、信息化建设、节能减排、财务、审计、固定资产管理、后勤保障等工作。</w:t>
      </w:r>
    </w:p>
    <w:p w14:paraId="02C455C9">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（二）党建工作办公室。</w:t>
      </w:r>
    </w:p>
    <w:p w14:paraId="606A1D4C">
      <w:pPr>
        <w:ind w:firstLine="640"/>
        <w:rPr>
          <w:rFonts w:ascii="仿宋" w:hAnsi="仿宋" w:eastAsia="仿宋" w:cs="Times New Roman"/>
          <w:sz w:val="32"/>
          <w:szCs w:val="30"/>
        </w:rPr>
      </w:pPr>
      <w:r>
        <w:rPr>
          <w:rFonts w:hint="eastAsia" w:ascii="仿宋" w:hAnsi="仿宋" w:eastAsia="仿宋" w:cs="Times New Roman"/>
          <w:sz w:val="32"/>
          <w:szCs w:val="30"/>
        </w:rPr>
        <w:t>负责党的政治建设、组织建设和宣传、意识形态、精神文明建设、统战（民族宗教）等工作。负责指导工会、共青团、妇联等群团工作。联络服务党代会代表、人大代表和政协委员。统筹推进辖区人才工作。领导社区自治工作。</w:t>
      </w:r>
    </w:p>
    <w:p w14:paraId="6CBD70A5">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（三）社会事务办公室。</w:t>
      </w:r>
    </w:p>
    <w:p w14:paraId="0D87E83E">
      <w:pPr>
        <w:ind w:firstLine="640"/>
        <w:rPr>
          <w:rFonts w:ascii="仿宋" w:hAnsi="仿宋" w:eastAsia="仿宋" w:cs="Times New Roman"/>
          <w:sz w:val="32"/>
          <w:szCs w:val="30"/>
        </w:rPr>
      </w:pPr>
      <w:r>
        <w:rPr>
          <w:rFonts w:hint="eastAsia" w:ascii="仿宋" w:hAnsi="仿宋" w:eastAsia="仿宋" w:cs="Times New Roman"/>
          <w:sz w:val="32"/>
          <w:szCs w:val="30"/>
        </w:rPr>
        <w:t>具体承担社会事务和公共服务等工作职责，落实人社、医保、民政、退役军人、教育、文化旅游、体育、卫生健康、残联、红十字会等领域相关政策。承担扶贫相关工作。牵头推进“放管服”和“最多跑一次”改革，统筹协调下放审批服务事项的承接工作。</w:t>
      </w:r>
    </w:p>
    <w:p w14:paraId="52C0C5F7">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（四）平安建设办公室（应急管理办公室）。</w:t>
      </w:r>
    </w:p>
    <w:p w14:paraId="2EA83206">
      <w:pPr>
        <w:ind w:firstLine="640"/>
        <w:rPr>
          <w:rFonts w:ascii="仿宋" w:hAnsi="仿宋" w:eastAsia="仿宋" w:cs="Times New Roman"/>
          <w:sz w:val="32"/>
          <w:szCs w:val="30"/>
        </w:rPr>
      </w:pPr>
      <w:r>
        <w:rPr>
          <w:rFonts w:hint="eastAsia" w:ascii="仿宋" w:hAnsi="仿宋" w:eastAsia="仿宋" w:cs="Times New Roman"/>
          <w:sz w:val="32"/>
          <w:szCs w:val="30"/>
        </w:rPr>
        <w:t>负责平安建设、综合治理、维护稳定等工作。负责依法治街工作。指导督促辖区单位和居民落实消防、安全生产、食品安全等工作。受理人民群众来信来访。组织协调相关部门共同解决辖区内的治安问题。负责应急体系建设、应急响应和防灾减灾救灾相关工作。</w:t>
      </w:r>
    </w:p>
    <w:p w14:paraId="6F6E626D">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（五）企业服务办公室。</w:t>
      </w:r>
    </w:p>
    <w:p w14:paraId="17F4D5AD">
      <w:pPr>
        <w:ind w:firstLine="640"/>
        <w:rPr>
          <w:rFonts w:ascii="仿宋" w:hAnsi="仿宋" w:eastAsia="仿宋" w:cs="Times New Roman"/>
          <w:sz w:val="32"/>
          <w:szCs w:val="30"/>
        </w:rPr>
      </w:pPr>
      <w:r>
        <w:rPr>
          <w:rFonts w:hint="eastAsia" w:ascii="仿宋" w:hAnsi="仿宋" w:eastAsia="仿宋" w:cs="Times New Roman"/>
          <w:sz w:val="32"/>
          <w:szCs w:val="30"/>
        </w:rPr>
        <w:t xml:space="preserve">统筹协调辖区企业及其他市场主体联系服务工作，营造良好营商环境。承担辖区内工业、商贸、科技、统计等方面相关工作。 </w:t>
      </w:r>
    </w:p>
    <w:p w14:paraId="1E126C62">
      <w:pPr>
        <w:ind w:firstLine="640" w:firstLineChars="0"/>
        <w:rPr>
          <w:rFonts w:ascii="仿宋" w:hAnsi="仿宋" w:eastAsia="仿宋" w:cs="Times New Roman"/>
          <w:sz w:val="32"/>
          <w:szCs w:val="30"/>
        </w:rPr>
      </w:pPr>
      <w:r>
        <w:rPr>
          <w:rFonts w:hint="eastAsia" w:ascii="楷体" w:hAnsi="楷体" w:eastAsia="楷体" w:cs="Times New Roman"/>
          <w:b/>
          <w:bCs/>
          <w:sz w:val="32"/>
          <w:szCs w:val="20"/>
        </w:rPr>
        <w:t>（六）综合行政执法办公室。</w:t>
      </w:r>
    </w:p>
    <w:p w14:paraId="7F4BA736">
      <w:pPr>
        <w:ind w:firstLine="640"/>
        <w:rPr>
          <w:rFonts w:ascii="仿宋" w:hAnsi="仿宋" w:eastAsia="仿宋" w:cs="Times New Roman"/>
          <w:sz w:val="32"/>
          <w:szCs w:val="30"/>
        </w:rPr>
      </w:pPr>
      <w:r>
        <w:rPr>
          <w:rFonts w:hint="eastAsia" w:ascii="仿宋" w:hAnsi="仿宋" w:eastAsia="仿宋" w:cs="Times New Roman"/>
          <w:sz w:val="32"/>
          <w:szCs w:val="30"/>
        </w:rPr>
        <w:t>负责统筹协调组织指挥辖区内派驻和基层执法力量实行联合执法，代表街道办事处履行规定范围内的行政执法职责。落实对上级职能部门派驻工作力量的指挥调度和考核监督权。</w:t>
      </w:r>
    </w:p>
    <w:p w14:paraId="6C61A170">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（七）城市建设管理办公室。</w:t>
      </w:r>
    </w:p>
    <w:p w14:paraId="610ADDCC">
      <w:pPr>
        <w:ind w:firstLine="640"/>
        <w:rPr>
          <w:rFonts w:ascii="仿宋" w:hAnsi="仿宋" w:eastAsia="仿宋" w:cs="Times New Roman"/>
          <w:sz w:val="32"/>
          <w:szCs w:val="30"/>
        </w:rPr>
      </w:pPr>
      <w:r>
        <w:rPr>
          <w:rFonts w:hint="eastAsia" w:ascii="仿宋" w:hAnsi="仿宋" w:eastAsia="仿宋" w:cs="Times New Roman"/>
          <w:sz w:val="32"/>
          <w:szCs w:val="30"/>
        </w:rPr>
        <w:t xml:space="preserve">落实住房和城乡建设、生态环境保护、园林绿化、道路交通、人民防空、市容和环境卫生管理等工作。负责基础设施养护和管理、防违控违拆违等工作。负责对辖区内物业服务企业的日常监管，对辖区住宅小区开展综合管理。按职责分工承担辖区内防汛抗旱等基础性工作。 </w:t>
      </w:r>
    </w:p>
    <w:p w14:paraId="6B3FB5C0">
      <w:pPr>
        <w:ind w:firstLine="640"/>
        <w:rPr>
          <w:rFonts w:ascii="黑体" w:hAnsi="黑体" w:eastAsia="黑体" w:cs="Times New Roman"/>
          <w:sz w:val="32"/>
          <w:szCs w:val="30"/>
        </w:rPr>
      </w:pPr>
      <w:r>
        <w:rPr>
          <w:rFonts w:ascii="黑体" w:hAnsi="黑体" w:eastAsia="黑体" w:cs="Times New Roman"/>
          <w:sz w:val="32"/>
          <w:szCs w:val="30"/>
        </w:rPr>
        <w:t>二、机构设置及部门决算单位构成</w:t>
      </w:r>
    </w:p>
    <w:p w14:paraId="66D787C9">
      <w:pPr>
        <w:ind w:firstLine="640"/>
        <w:rPr>
          <w:rFonts w:ascii="仿宋" w:hAnsi="仿宋" w:eastAsia="仿宋" w:cs="Times New Roman"/>
          <w:sz w:val="32"/>
          <w:szCs w:val="30"/>
        </w:rPr>
      </w:pPr>
      <w:r>
        <w:rPr>
          <w:rFonts w:hint="eastAsia" w:ascii="仿宋" w:hAnsi="仿宋" w:eastAsia="仿宋" w:cs="Times New Roman"/>
          <w:sz w:val="32"/>
          <w:szCs w:val="30"/>
        </w:rPr>
        <w:t>根据上述职责，长春市</w:t>
      </w:r>
      <w:r>
        <w:rPr>
          <w:rFonts w:ascii="仿宋" w:hAnsi="仿宋" w:eastAsia="仿宋" w:cs="Times New Roman"/>
          <w:sz w:val="32"/>
          <w:szCs w:val="30"/>
        </w:rPr>
        <w:t>南关区长通街道办事处</w:t>
      </w:r>
      <w:r>
        <w:rPr>
          <w:rFonts w:hint="eastAsia" w:ascii="仿宋" w:hAnsi="仿宋" w:eastAsia="仿宋" w:cs="Times New Roman"/>
          <w:sz w:val="32"/>
          <w:szCs w:val="30"/>
        </w:rPr>
        <w:t>内设 7个机构，分别为综合办公室、党建工作办公室、社会事务办公室、平安建设办公室、企业服务办公室、综合行政执法办公室、城市建设管理办公室。</w:t>
      </w:r>
    </w:p>
    <w:p w14:paraId="35E940A9">
      <w:pPr>
        <w:ind w:firstLine="640"/>
        <w:rPr>
          <w:rFonts w:ascii="仿宋" w:hAnsi="仿宋" w:eastAsia="仿宋" w:cs="Times New Roman"/>
          <w:sz w:val="32"/>
          <w:szCs w:val="30"/>
        </w:rPr>
      </w:pPr>
      <w:r>
        <w:rPr>
          <w:rFonts w:hint="eastAsia" w:ascii="仿宋" w:hAnsi="仿宋" w:eastAsia="仿宋" w:cs="Times New Roman"/>
          <w:sz w:val="32"/>
          <w:szCs w:val="30"/>
        </w:rPr>
        <w:t>纳入长春市</w:t>
      </w:r>
      <w:r>
        <w:rPr>
          <w:rFonts w:ascii="仿宋" w:hAnsi="仿宋" w:eastAsia="仿宋" w:cs="Times New Roman"/>
          <w:sz w:val="32"/>
          <w:szCs w:val="30"/>
        </w:rPr>
        <w:t>南关区长通街道办事处2023</w:t>
      </w:r>
      <w:r>
        <w:rPr>
          <w:rFonts w:hint="eastAsia" w:ascii="仿宋" w:hAnsi="仿宋" w:eastAsia="仿宋" w:cs="Times New Roman"/>
          <w:sz w:val="32"/>
          <w:szCs w:val="30"/>
        </w:rPr>
        <w:t>年度部门决算编制范围的单位包括： 长春市</w:t>
      </w:r>
      <w:r>
        <w:rPr>
          <w:rFonts w:ascii="仿宋" w:hAnsi="仿宋" w:eastAsia="仿宋" w:cs="Times New Roman"/>
          <w:sz w:val="32"/>
          <w:szCs w:val="30"/>
        </w:rPr>
        <w:t>南关区长通街道办事处</w:t>
      </w:r>
      <w:r>
        <w:rPr>
          <w:rFonts w:hint="eastAsia" w:ascii="仿宋" w:hAnsi="仿宋" w:eastAsia="仿宋" w:cs="Times New Roman"/>
          <w:sz w:val="32"/>
          <w:szCs w:val="30"/>
        </w:rPr>
        <w:t>本级</w:t>
      </w:r>
    </w:p>
    <w:p w14:paraId="5660EF2D">
      <w:pPr>
        <w:spacing w:line="240" w:lineRule="auto"/>
        <w:ind w:firstLine="0" w:firstLineChars="0"/>
        <w:jc w:val="center"/>
        <w:rPr>
          <w:rFonts w:ascii="方正小标宋简体" w:hAnsi="方正小标宋简体" w:eastAsia="方正小标宋简体" w:cs="Times New Roman"/>
          <w:sz w:val="44"/>
          <w:szCs w:val="20"/>
        </w:rPr>
      </w:pPr>
    </w:p>
    <w:p w14:paraId="2A75AFFB">
      <w:pPr>
        <w:spacing w:line="500" w:lineRule="exact"/>
        <w:ind w:firstLine="0" w:firstLineChars="0"/>
        <w:rPr>
          <w:rFonts w:ascii="微软雅黑" w:hAnsi="微软雅黑" w:eastAsia="微软雅黑" w:cs="微软雅黑"/>
          <w:sz w:val="44"/>
          <w:szCs w:val="44"/>
        </w:rPr>
      </w:pPr>
    </w:p>
    <w:p w14:paraId="2724C7F7">
      <w:pPr>
        <w:spacing w:line="500" w:lineRule="exact"/>
        <w:ind w:firstLine="0" w:firstLineChars="0"/>
        <w:rPr>
          <w:rFonts w:ascii="微软雅黑" w:hAnsi="微软雅黑" w:eastAsia="微软雅黑" w:cs="微软雅黑"/>
          <w:sz w:val="44"/>
          <w:szCs w:val="44"/>
        </w:rPr>
      </w:pPr>
    </w:p>
    <w:p w14:paraId="5B0976F3">
      <w:pPr>
        <w:spacing w:line="500" w:lineRule="exact"/>
        <w:ind w:firstLine="0" w:firstLineChars="0"/>
        <w:jc w:val="center"/>
        <w:rPr>
          <w:rFonts w:ascii="方正小标宋简体" w:hAnsi="方正小标宋简体" w:eastAsia="方正小标宋简体" w:cs="Times New Roman"/>
          <w:sz w:val="44"/>
          <w:szCs w:val="20"/>
        </w:rPr>
      </w:pPr>
    </w:p>
    <w:p w14:paraId="189A2417">
      <w:pPr>
        <w:spacing w:line="500" w:lineRule="exact"/>
        <w:ind w:firstLine="0" w:firstLineChars="0"/>
        <w:jc w:val="center"/>
        <w:rPr>
          <w:rFonts w:ascii="方正小标宋简体" w:hAnsi="方正小标宋简体" w:eastAsia="方正小标宋简体" w:cs="Times New Roman"/>
          <w:sz w:val="44"/>
          <w:szCs w:val="20"/>
        </w:rPr>
      </w:pPr>
    </w:p>
    <w:p w14:paraId="39B664BA">
      <w:pPr>
        <w:spacing w:line="500" w:lineRule="exact"/>
        <w:ind w:firstLine="0" w:firstLineChars="0"/>
        <w:jc w:val="center"/>
        <w:rPr>
          <w:rFonts w:ascii="方正小标宋简体" w:hAnsi="方正小标宋简体" w:eastAsia="方正小标宋简体" w:cs="Times New Roman"/>
          <w:sz w:val="44"/>
          <w:szCs w:val="20"/>
        </w:rPr>
      </w:pPr>
      <w:r>
        <w:rPr>
          <w:rFonts w:ascii="方正小标宋简体" w:hAnsi="方正小标宋简体" w:eastAsia="方正小标宋简体" w:cs="Times New Roman"/>
          <w:sz w:val="44"/>
          <w:szCs w:val="20"/>
        </w:rPr>
        <w:t>第二部分2023年度部门决算表</w:t>
      </w:r>
    </w:p>
    <w:p w14:paraId="42A30CE0">
      <w:pPr>
        <w:spacing w:before="101" w:line="240" w:lineRule="auto"/>
        <w:ind w:firstLine="0" w:firstLineChars="0"/>
        <w:rPr>
          <w:rFonts w:ascii="黑体" w:hAnsi="黑体" w:eastAsia="黑体" w:cs="黑体"/>
          <w:spacing w:val="7"/>
          <w:sz w:val="31"/>
          <w:szCs w:val="31"/>
        </w:rPr>
      </w:pPr>
    </w:p>
    <w:p w14:paraId="3122BB03">
      <w:pPr>
        <w:ind w:firstLine="640"/>
        <w:rPr>
          <w:rFonts w:ascii="黑体" w:hAnsi="黑体" w:eastAsia="黑体" w:cs="Times New Roman"/>
          <w:sz w:val="32"/>
          <w:szCs w:val="30"/>
        </w:rPr>
      </w:pPr>
      <w:r>
        <w:rPr>
          <w:rFonts w:ascii="黑体" w:hAnsi="黑体" w:eastAsia="黑体" w:cs="Times New Roman"/>
          <w:sz w:val="32"/>
          <w:szCs w:val="30"/>
        </w:rPr>
        <w:t>一、收入支出决算总表</w:t>
      </w:r>
    </w:p>
    <w:p w14:paraId="4D06CA4D">
      <w:pPr>
        <w:spacing w:before="101" w:line="240" w:lineRule="auto"/>
        <w:ind w:left="672" w:firstLine="0" w:firstLineChars="0"/>
        <w:jc w:val="center"/>
        <w:rPr>
          <w:rFonts w:ascii="黑体" w:hAnsi="黑体" w:eastAsia="黑体" w:cs="黑体"/>
          <w:spacing w:val="7"/>
          <w:sz w:val="31"/>
          <w:szCs w:val="31"/>
        </w:rPr>
      </w:pPr>
    </w:p>
    <w:p w14:paraId="0C394A78">
      <w:pPr>
        <w:spacing w:before="100" w:line="240" w:lineRule="auto"/>
        <w:ind w:firstLine="0" w:firstLineChars="0"/>
        <w:jc w:val="center"/>
        <w:rPr>
          <w:rFonts w:ascii="黑体" w:hAnsi="黑体" w:cs="黑体"/>
          <w:sz w:val="31"/>
          <w:szCs w:val="31"/>
        </w:rPr>
      </w:pPr>
      <w:r>
        <w:rPr>
          <w:rFonts w:hint="eastAsia"/>
          <w:szCs w:val="31"/>
        </w:rPr>
        <w:drawing>
          <wp:inline distT="0" distB="0" distL="0" distR="0">
            <wp:extent cx="4948555" cy="5482590"/>
            <wp:effectExtent l="19050" t="0" r="4081"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20" cstate="print"/>
                    <a:stretch>
                      <a:fillRect/>
                    </a:stretch>
                  </pic:blipFill>
                  <pic:spPr>
                    <a:xfrm>
                      <a:off x="0" y="0"/>
                      <a:ext cx="4948919" cy="5482938"/>
                    </a:xfrm>
                    <a:prstGeom prst="rect">
                      <a:avLst/>
                    </a:prstGeom>
                    <a:noFill/>
                    <a:ln w="9525">
                      <a:noFill/>
                      <a:miter lim="800000"/>
                      <a:headEnd/>
                      <a:tailEnd/>
                    </a:ln>
                  </pic:spPr>
                </pic:pic>
              </a:graphicData>
            </a:graphic>
          </wp:inline>
        </w:drawing>
      </w:r>
    </w:p>
    <w:p w14:paraId="6460D27B">
      <w:pPr>
        <w:spacing w:line="240" w:lineRule="auto"/>
        <w:ind w:firstLine="0" w:firstLineChars="0"/>
        <w:jc w:val="center"/>
        <w:rPr>
          <w:rFonts w:ascii="仿宋" w:hAnsi="仿宋" w:eastAsia="仿宋" w:cs="仿宋"/>
          <w:sz w:val="31"/>
          <w:szCs w:val="31"/>
        </w:rPr>
        <w:sectPr>
          <w:headerReference r:id="rId7" w:type="first"/>
          <w:footerReference r:id="rId10" w:type="first"/>
          <w:headerReference r:id="rId5" w:type="default"/>
          <w:footerReference r:id="rId8" w:type="default"/>
          <w:headerReference r:id="rId6" w:type="even"/>
          <w:footerReference r:id="rId9" w:type="even"/>
          <w:pgSz w:w="11907" w:h="16839"/>
          <w:pgMar w:top="1431" w:right="1785" w:bottom="1150" w:left="1785" w:header="0" w:footer="965" w:gutter="0"/>
          <w:cols w:space="720" w:num="1"/>
        </w:sectPr>
      </w:pPr>
    </w:p>
    <w:p w14:paraId="4DB9D7C2">
      <w:pPr>
        <w:spacing w:before="101" w:line="240" w:lineRule="auto"/>
        <w:ind w:left="672" w:firstLine="0" w:firstLineChars="0"/>
        <w:jc w:val="center"/>
        <w:rPr>
          <w:rFonts w:ascii="黑体" w:hAnsi="黑体" w:eastAsia="黑体" w:cs="黑体"/>
          <w:spacing w:val="7"/>
          <w:sz w:val="31"/>
          <w:szCs w:val="31"/>
        </w:rPr>
      </w:pPr>
    </w:p>
    <w:p w14:paraId="457A4BC7">
      <w:pPr>
        <w:ind w:firstLine="640"/>
        <w:rPr>
          <w:rFonts w:ascii="黑体" w:hAnsi="黑体" w:eastAsia="黑体" w:cs="Times New Roman"/>
          <w:sz w:val="32"/>
          <w:szCs w:val="30"/>
        </w:rPr>
      </w:pPr>
      <w:r>
        <w:rPr>
          <w:rFonts w:ascii="黑体" w:hAnsi="黑体" w:eastAsia="黑体" w:cs="Times New Roman"/>
          <w:sz w:val="32"/>
          <w:szCs w:val="30"/>
        </w:rPr>
        <w:t>二、收入决算表</w:t>
      </w:r>
    </w:p>
    <w:p w14:paraId="07CCA261">
      <w:pPr>
        <w:spacing w:before="101" w:line="240" w:lineRule="auto"/>
        <w:ind w:firstLine="0" w:firstLineChars="0"/>
        <w:jc w:val="center"/>
        <w:rPr>
          <w:rFonts w:ascii="黑体" w:hAnsi="黑体" w:cs="黑体"/>
          <w:sz w:val="31"/>
          <w:szCs w:val="31"/>
        </w:rPr>
      </w:pPr>
    </w:p>
    <w:p w14:paraId="1360331C">
      <w:pPr>
        <w:pStyle w:val="2"/>
        <w:spacing w:line="240" w:lineRule="auto"/>
        <w:ind w:firstLine="0" w:firstLineChars="0"/>
        <w:jc w:val="center"/>
        <w:rPr>
          <w:lang w:eastAsia="zh-CN"/>
        </w:rPr>
      </w:pPr>
      <w:r>
        <w:rPr>
          <w:lang w:eastAsia="zh-CN"/>
        </w:rPr>
        <w:drawing>
          <wp:inline distT="0" distB="0" distL="0" distR="0">
            <wp:extent cx="5236210" cy="5342255"/>
            <wp:effectExtent l="19050" t="0" r="254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1"/>
                    <a:stretch>
                      <a:fillRect/>
                    </a:stretch>
                  </pic:blipFill>
                  <pic:spPr>
                    <a:xfrm>
                      <a:off x="0" y="0"/>
                      <a:ext cx="5236210" cy="5342873"/>
                    </a:xfrm>
                    <a:prstGeom prst="rect">
                      <a:avLst/>
                    </a:prstGeom>
                    <a:noFill/>
                    <a:ln w="9525">
                      <a:noFill/>
                      <a:miter lim="800000"/>
                      <a:headEnd/>
                      <a:tailEnd/>
                    </a:ln>
                  </pic:spPr>
                </pic:pic>
              </a:graphicData>
            </a:graphic>
          </wp:inline>
        </w:drawing>
      </w:r>
    </w:p>
    <w:p w14:paraId="1F3F8FDF">
      <w:pPr>
        <w:spacing w:line="240" w:lineRule="auto"/>
        <w:ind w:firstLine="0" w:firstLineChars="0"/>
        <w:jc w:val="center"/>
        <w:rPr>
          <w:rFonts w:ascii="仿宋" w:hAnsi="仿宋" w:cs="仿宋"/>
          <w:sz w:val="31"/>
          <w:szCs w:val="31"/>
        </w:rPr>
        <w:sectPr>
          <w:footerReference r:id="rId11" w:type="default"/>
          <w:pgSz w:w="11907" w:h="16839"/>
          <w:pgMar w:top="1431" w:right="1785" w:bottom="1153" w:left="1785" w:header="0" w:footer="965" w:gutter="0"/>
          <w:cols w:space="720" w:num="1"/>
        </w:sectPr>
      </w:pPr>
    </w:p>
    <w:p w14:paraId="5302DD8C">
      <w:pPr>
        <w:ind w:firstLine="640"/>
        <w:rPr>
          <w:rFonts w:ascii="黑体" w:hAnsi="黑体" w:eastAsia="黑体" w:cs="Times New Roman"/>
          <w:sz w:val="32"/>
          <w:szCs w:val="30"/>
        </w:rPr>
      </w:pPr>
      <w:r>
        <w:rPr>
          <w:rFonts w:ascii="黑体" w:hAnsi="黑体" w:eastAsia="黑体" w:cs="Times New Roman"/>
          <w:sz w:val="32"/>
          <w:szCs w:val="30"/>
        </w:rPr>
        <w:t>三、支出决算表</w:t>
      </w:r>
    </w:p>
    <w:p w14:paraId="091D62F5">
      <w:pPr>
        <w:spacing w:before="101" w:line="240" w:lineRule="auto"/>
        <w:ind w:firstLine="0" w:firstLineChars="0"/>
        <w:jc w:val="center"/>
        <w:rPr>
          <w:rFonts w:ascii="黑体" w:hAnsi="黑体" w:cs="黑体"/>
          <w:sz w:val="31"/>
          <w:szCs w:val="31"/>
        </w:rPr>
      </w:pPr>
    </w:p>
    <w:p w14:paraId="7A872B95">
      <w:pPr>
        <w:pStyle w:val="2"/>
        <w:spacing w:line="240" w:lineRule="auto"/>
        <w:ind w:firstLine="0" w:firstLineChars="0"/>
        <w:jc w:val="center"/>
        <w:rPr>
          <w:lang w:eastAsia="zh-CN"/>
        </w:rPr>
      </w:pPr>
      <w:r>
        <w:rPr>
          <w:lang w:eastAsia="zh-CN"/>
        </w:rPr>
        <w:drawing>
          <wp:inline distT="0" distB="0" distL="0" distR="0">
            <wp:extent cx="5191125" cy="5864225"/>
            <wp:effectExtent l="19050" t="0" r="9033"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noChangeArrowheads="1"/>
                    </pic:cNvPicPr>
                  </pic:nvPicPr>
                  <pic:blipFill>
                    <a:blip r:embed="rId22"/>
                    <a:stretch>
                      <a:fillRect/>
                    </a:stretch>
                  </pic:blipFill>
                  <pic:spPr>
                    <a:xfrm>
                      <a:off x="0" y="0"/>
                      <a:ext cx="5191617" cy="5864605"/>
                    </a:xfrm>
                    <a:prstGeom prst="rect">
                      <a:avLst/>
                    </a:prstGeom>
                    <a:solidFill>
                      <a:schemeClr val="accent2"/>
                    </a:solidFill>
                    <a:ln w="9525">
                      <a:noFill/>
                      <a:miter lim="800000"/>
                      <a:headEnd/>
                      <a:tailEnd/>
                    </a:ln>
                  </pic:spPr>
                </pic:pic>
              </a:graphicData>
            </a:graphic>
          </wp:inline>
        </w:drawing>
      </w:r>
    </w:p>
    <w:p w14:paraId="5BE2F0D1">
      <w:pPr>
        <w:spacing w:line="240" w:lineRule="auto"/>
        <w:ind w:firstLine="0" w:firstLineChars="0"/>
        <w:jc w:val="center"/>
        <w:rPr>
          <w:rFonts w:ascii="仿宋" w:hAnsi="仿宋" w:eastAsia="仿宋" w:cs="仿宋"/>
          <w:sz w:val="31"/>
          <w:szCs w:val="31"/>
        </w:rPr>
        <w:sectPr>
          <w:footerReference r:id="rId12" w:type="default"/>
          <w:pgSz w:w="11907" w:h="16839"/>
          <w:pgMar w:top="1431" w:right="1785" w:bottom="1150" w:left="1785" w:header="0" w:footer="965" w:gutter="0"/>
          <w:cols w:space="720" w:num="1"/>
        </w:sectPr>
      </w:pPr>
    </w:p>
    <w:p w14:paraId="4EFC6177">
      <w:pPr>
        <w:ind w:firstLine="640"/>
        <w:rPr>
          <w:rFonts w:ascii="黑体" w:hAnsi="黑体" w:eastAsia="黑体" w:cs="Times New Roman"/>
          <w:sz w:val="32"/>
          <w:szCs w:val="30"/>
        </w:rPr>
      </w:pPr>
      <w:r>
        <w:rPr>
          <w:rFonts w:ascii="黑体" w:hAnsi="黑体" w:eastAsia="黑体" w:cs="Times New Roman"/>
          <w:sz w:val="32"/>
          <w:szCs w:val="30"/>
        </w:rPr>
        <w:t>四、财政拨款收入支出决算总表</w:t>
      </w:r>
    </w:p>
    <w:p w14:paraId="04D4C327">
      <w:pPr>
        <w:spacing w:before="101" w:line="240" w:lineRule="auto"/>
        <w:ind w:firstLine="0" w:firstLineChars="0"/>
        <w:jc w:val="center"/>
        <w:rPr>
          <w:szCs w:val="31"/>
        </w:rPr>
      </w:pPr>
    </w:p>
    <w:p w14:paraId="2654421D">
      <w:pPr>
        <w:spacing w:before="101" w:line="240" w:lineRule="auto"/>
        <w:ind w:firstLine="0" w:firstLineChars="0"/>
        <w:jc w:val="center"/>
        <w:rPr>
          <w:rFonts w:ascii="黑体" w:hAnsi="黑体" w:cs="黑体"/>
          <w:sz w:val="31"/>
          <w:szCs w:val="31"/>
        </w:rPr>
      </w:pPr>
      <w:r>
        <w:rPr>
          <w:rFonts w:hint="eastAsia"/>
          <w:szCs w:val="31"/>
        </w:rPr>
        <w:drawing>
          <wp:inline distT="0" distB="0" distL="0" distR="0">
            <wp:extent cx="5354320" cy="4799330"/>
            <wp:effectExtent l="1905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noChangeArrowheads="1"/>
                    </pic:cNvPicPr>
                  </pic:nvPicPr>
                  <pic:blipFill>
                    <a:blip r:embed="rId23"/>
                    <a:stretch>
                      <a:fillRect/>
                    </a:stretch>
                  </pic:blipFill>
                  <pic:spPr>
                    <a:xfrm>
                      <a:off x="0" y="0"/>
                      <a:ext cx="5354826" cy="4799510"/>
                    </a:xfrm>
                    <a:prstGeom prst="rect">
                      <a:avLst/>
                    </a:prstGeom>
                    <a:solidFill>
                      <a:schemeClr val="accent2"/>
                    </a:solidFill>
                    <a:ln w="9525">
                      <a:noFill/>
                      <a:miter lim="800000"/>
                      <a:headEnd/>
                      <a:tailEnd/>
                    </a:ln>
                  </pic:spPr>
                </pic:pic>
              </a:graphicData>
            </a:graphic>
          </wp:inline>
        </w:drawing>
      </w:r>
    </w:p>
    <w:p w14:paraId="4D3B7BD8">
      <w:pPr>
        <w:spacing w:line="240" w:lineRule="auto"/>
        <w:ind w:firstLine="0" w:firstLineChars="0"/>
        <w:jc w:val="center"/>
        <w:rPr>
          <w:rFonts w:ascii="仿宋" w:hAnsi="仿宋" w:eastAsia="仿宋" w:cs="仿宋"/>
          <w:sz w:val="31"/>
          <w:szCs w:val="31"/>
        </w:rPr>
        <w:sectPr>
          <w:footerReference r:id="rId13" w:type="default"/>
          <w:pgSz w:w="11907" w:h="16839"/>
          <w:pgMar w:top="1431" w:right="1785" w:bottom="1153" w:left="1785" w:header="0" w:footer="965" w:gutter="0"/>
          <w:cols w:space="720" w:num="1"/>
        </w:sectPr>
      </w:pPr>
    </w:p>
    <w:p w14:paraId="4CE6D093">
      <w:pPr>
        <w:ind w:firstLine="640"/>
        <w:rPr>
          <w:rFonts w:ascii="黑体" w:hAnsi="黑体" w:eastAsia="黑体" w:cs="Times New Roman"/>
          <w:sz w:val="32"/>
          <w:szCs w:val="30"/>
        </w:rPr>
      </w:pPr>
      <w:r>
        <w:rPr>
          <w:rFonts w:ascii="黑体" w:hAnsi="黑体" w:eastAsia="黑体" w:cs="Times New Roman"/>
          <w:sz w:val="32"/>
          <w:szCs w:val="30"/>
        </w:rPr>
        <w:t>五、一般公共预算财政拨款支出决算表</w:t>
      </w:r>
    </w:p>
    <w:p w14:paraId="046EC3E8">
      <w:pPr>
        <w:widowControl/>
        <w:kinsoku w:val="0"/>
        <w:autoSpaceDE w:val="0"/>
        <w:autoSpaceDN w:val="0"/>
        <w:adjustRightInd w:val="0"/>
        <w:snapToGrid w:val="0"/>
        <w:spacing w:before="100" w:line="240" w:lineRule="auto"/>
        <w:ind w:firstLine="0" w:firstLineChars="0"/>
        <w:jc w:val="center"/>
        <w:textAlignment w:val="baseline"/>
        <w:rPr>
          <w:rFonts w:ascii="黑体" w:hAnsi="黑体" w:eastAsia="黑体" w:cs="黑体"/>
          <w:spacing w:val="8"/>
          <w:sz w:val="31"/>
          <w:szCs w:val="31"/>
        </w:rPr>
      </w:pPr>
    </w:p>
    <w:p w14:paraId="5ABE3072">
      <w:pPr>
        <w:spacing w:before="100" w:line="240" w:lineRule="auto"/>
        <w:ind w:firstLine="0" w:firstLineChars="0"/>
        <w:jc w:val="center"/>
        <w:rPr>
          <w:rFonts w:ascii="黑体" w:hAnsi="黑体" w:eastAsia="黑体" w:cs="黑体"/>
          <w:spacing w:val="8"/>
          <w:sz w:val="31"/>
          <w:szCs w:val="31"/>
        </w:rPr>
      </w:pPr>
      <w:r>
        <w:drawing>
          <wp:inline distT="0" distB="0" distL="114300" distR="114300">
            <wp:extent cx="5245735" cy="2952750"/>
            <wp:effectExtent l="1905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4" cstate="print"/>
                    <a:stretch>
                      <a:fillRect/>
                    </a:stretch>
                  </pic:blipFill>
                  <pic:spPr>
                    <a:xfrm>
                      <a:off x="0" y="0"/>
                      <a:ext cx="5245735" cy="2953128"/>
                    </a:xfrm>
                    <a:prstGeom prst="rect">
                      <a:avLst/>
                    </a:prstGeom>
                    <a:noFill/>
                    <a:ln>
                      <a:noFill/>
                    </a:ln>
                  </pic:spPr>
                </pic:pic>
              </a:graphicData>
            </a:graphic>
          </wp:inline>
        </w:drawing>
      </w:r>
    </w:p>
    <w:p w14:paraId="65F0E134">
      <w:pPr>
        <w:pStyle w:val="2"/>
        <w:spacing w:line="240" w:lineRule="auto"/>
        <w:ind w:firstLine="0" w:firstLineChars="0"/>
        <w:jc w:val="center"/>
      </w:pPr>
    </w:p>
    <w:p w14:paraId="6A460C28">
      <w:pPr>
        <w:ind w:firstLine="640"/>
        <w:rPr>
          <w:rFonts w:ascii="黑体" w:hAnsi="黑体" w:eastAsia="黑体" w:cs="Times New Roman"/>
          <w:sz w:val="32"/>
          <w:szCs w:val="30"/>
        </w:rPr>
      </w:pPr>
      <w:r>
        <w:rPr>
          <w:rFonts w:ascii="黑体" w:hAnsi="黑体" w:eastAsia="黑体" w:cs="Times New Roman"/>
          <w:sz w:val="32"/>
          <w:szCs w:val="30"/>
        </w:rPr>
        <w:t>六、一般公共预算财政拨款基本支出决算明细表</w:t>
      </w:r>
    </w:p>
    <w:p w14:paraId="61C5C88F">
      <w:pPr>
        <w:widowControl/>
        <w:kinsoku w:val="0"/>
        <w:autoSpaceDE w:val="0"/>
        <w:autoSpaceDN w:val="0"/>
        <w:adjustRightInd w:val="0"/>
        <w:snapToGrid w:val="0"/>
        <w:spacing w:before="100" w:line="240" w:lineRule="auto"/>
        <w:ind w:firstLine="0" w:firstLineChars="0"/>
        <w:jc w:val="center"/>
        <w:textAlignment w:val="baseline"/>
        <w:rPr>
          <w:rFonts w:ascii="黑体" w:hAnsi="黑体" w:eastAsia="黑体" w:cs="黑体"/>
          <w:spacing w:val="8"/>
          <w:sz w:val="31"/>
          <w:szCs w:val="31"/>
        </w:rPr>
      </w:pPr>
    </w:p>
    <w:p w14:paraId="70077DAF">
      <w:pPr>
        <w:pStyle w:val="2"/>
        <w:spacing w:line="240" w:lineRule="auto"/>
        <w:ind w:firstLine="0" w:firstLineChars="0"/>
        <w:jc w:val="center"/>
        <w:rPr>
          <w:lang w:eastAsia="zh-CN"/>
        </w:rPr>
      </w:pPr>
    </w:p>
    <w:p w14:paraId="4D61CBCD">
      <w:pPr>
        <w:pStyle w:val="2"/>
        <w:spacing w:line="240" w:lineRule="auto"/>
        <w:ind w:firstLine="0" w:firstLineChars="0"/>
        <w:jc w:val="center"/>
      </w:pPr>
      <w:r>
        <w:rPr>
          <w:lang w:eastAsia="zh-CN"/>
        </w:rPr>
        <w:drawing>
          <wp:inline distT="0" distB="0" distL="114300" distR="114300">
            <wp:extent cx="5311775" cy="4048125"/>
            <wp:effectExtent l="19050" t="0" r="2709"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25" cstate="print"/>
                    <a:stretch>
                      <a:fillRect/>
                    </a:stretch>
                  </pic:blipFill>
                  <pic:spPr>
                    <a:xfrm>
                      <a:off x="0" y="0"/>
                      <a:ext cx="5312241" cy="4048125"/>
                    </a:xfrm>
                    <a:prstGeom prst="rect">
                      <a:avLst/>
                    </a:prstGeom>
                    <a:noFill/>
                    <a:ln>
                      <a:noFill/>
                    </a:ln>
                  </pic:spPr>
                </pic:pic>
              </a:graphicData>
            </a:graphic>
          </wp:inline>
        </w:drawing>
      </w:r>
    </w:p>
    <w:p w14:paraId="54B1E2B1">
      <w:pPr>
        <w:pStyle w:val="2"/>
        <w:spacing w:line="240" w:lineRule="auto"/>
        <w:ind w:firstLine="0" w:firstLineChars="0"/>
        <w:jc w:val="center"/>
      </w:pPr>
    </w:p>
    <w:p w14:paraId="657A06B3">
      <w:pPr>
        <w:spacing w:line="240" w:lineRule="auto"/>
        <w:ind w:firstLine="0" w:firstLineChars="0"/>
        <w:jc w:val="center"/>
        <w:rPr>
          <w:rFonts w:ascii="仿宋" w:hAnsi="仿宋" w:eastAsia="仿宋" w:cs="仿宋"/>
          <w:sz w:val="31"/>
          <w:szCs w:val="31"/>
        </w:rPr>
        <w:sectPr>
          <w:footerReference r:id="rId14" w:type="default"/>
          <w:pgSz w:w="11907" w:h="16839"/>
          <w:pgMar w:top="1431" w:right="1785" w:bottom="1153" w:left="1785" w:header="0" w:footer="965" w:gutter="0"/>
          <w:cols w:space="720" w:num="1"/>
        </w:sectPr>
      </w:pPr>
    </w:p>
    <w:p w14:paraId="7134FFD4">
      <w:pPr>
        <w:ind w:firstLine="640"/>
        <w:rPr>
          <w:rFonts w:ascii="黑体" w:hAnsi="黑体" w:eastAsia="黑体" w:cs="Times New Roman"/>
          <w:sz w:val="32"/>
          <w:szCs w:val="30"/>
        </w:rPr>
      </w:pPr>
      <w:r>
        <w:rPr>
          <w:rFonts w:ascii="黑体" w:hAnsi="黑体" w:eastAsia="黑体" w:cs="Times New Roman"/>
          <w:sz w:val="32"/>
          <w:szCs w:val="30"/>
        </w:rPr>
        <w:t>七、政府性基金预算财政拨款收入支出决算表</w:t>
      </w:r>
    </w:p>
    <w:p w14:paraId="65F7E9E5">
      <w:pPr>
        <w:spacing w:before="235" w:line="240" w:lineRule="auto"/>
        <w:ind w:firstLine="0" w:firstLineChars="0"/>
        <w:jc w:val="center"/>
      </w:pPr>
      <w:r>
        <w:drawing>
          <wp:inline distT="0" distB="0" distL="0" distR="0">
            <wp:extent cx="5586095" cy="1406525"/>
            <wp:effectExtent l="1905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noChangeArrowheads="1"/>
                    </pic:cNvPicPr>
                  </pic:nvPicPr>
                  <pic:blipFill>
                    <a:blip r:embed="rId26" cstate="print"/>
                    <a:stretch>
                      <a:fillRect/>
                    </a:stretch>
                  </pic:blipFill>
                  <pic:spPr>
                    <a:xfrm>
                      <a:off x="0" y="0"/>
                      <a:ext cx="5586630" cy="1406877"/>
                    </a:xfrm>
                    <a:prstGeom prst="rect">
                      <a:avLst/>
                    </a:prstGeom>
                    <a:noFill/>
                    <a:ln w="9525">
                      <a:noFill/>
                      <a:miter lim="800000"/>
                      <a:headEnd/>
                      <a:tailEnd/>
                    </a:ln>
                  </pic:spPr>
                </pic:pic>
              </a:graphicData>
            </a:graphic>
          </wp:inline>
        </w:drawing>
      </w:r>
    </w:p>
    <w:p w14:paraId="3CFE7438">
      <w:pPr>
        <w:ind w:firstLine="0" w:firstLineChars="0"/>
        <w:rPr>
          <w:rFonts w:ascii="黑体" w:hAnsi="黑体" w:eastAsia="黑体" w:cs="Times New Roman"/>
          <w:sz w:val="32"/>
          <w:szCs w:val="30"/>
        </w:rPr>
      </w:pPr>
    </w:p>
    <w:p w14:paraId="5B3A417D">
      <w:pPr>
        <w:ind w:firstLine="640"/>
        <w:rPr>
          <w:rFonts w:ascii="黑体" w:hAnsi="黑体" w:eastAsia="黑体" w:cs="Times New Roman"/>
          <w:sz w:val="32"/>
          <w:szCs w:val="30"/>
        </w:rPr>
      </w:pPr>
      <w:r>
        <w:rPr>
          <w:rFonts w:ascii="黑体" w:hAnsi="黑体" w:eastAsia="黑体" w:cs="Times New Roman"/>
          <w:sz w:val="32"/>
          <w:szCs w:val="30"/>
        </w:rPr>
        <w:t>八、国有资本经营预算财政拨款支出决算表</w:t>
      </w:r>
    </w:p>
    <w:p w14:paraId="79164D57">
      <w:pPr>
        <w:pStyle w:val="2"/>
        <w:spacing w:line="240" w:lineRule="auto"/>
        <w:ind w:firstLine="0" w:firstLineChars="0"/>
        <w:jc w:val="center"/>
        <w:rPr>
          <w:lang w:eastAsia="zh-CN"/>
        </w:rPr>
      </w:pPr>
    </w:p>
    <w:p w14:paraId="6A2BB1AB">
      <w:pPr>
        <w:pStyle w:val="2"/>
        <w:spacing w:line="240" w:lineRule="auto"/>
        <w:ind w:firstLine="0" w:firstLineChars="0"/>
        <w:jc w:val="center"/>
        <w:rPr>
          <w:rFonts w:eastAsiaTheme="minorEastAsia"/>
          <w:lang w:eastAsia="zh-CN"/>
        </w:rPr>
      </w:pPr>
      <w:r>
        <w:rPr>
          <w:lang w:eastAsia="zh-CN"/>
        </w:rPr>
        <w:drawing>
          <wp:inline distT="0" distB="0" distL="114300" distR="114300">
            <wp:extent cx="5598795" cy="2078355"/>
            <wp:effectExtent l="19050" t="0" r="1492" b="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27" cstate="print"/>
                    <a:stretch>
                      <a:fillRect/>
                    </a:stretch>
                  </pic:blipFill>
                  <pic:spPr>
                    <a:xfrm>
                      <a:off x="0" y="0"/>
                      <a:ext cx="5602315" cy="2080120"/>
                    </a:xfrm>
                    <a:prstGeom prst="rect">
                      <a:avLst/>
                    </a:prstGeom>
                    <a:noFill/>
                    <a:ln>
                      <a:noFill/>
                    </a:ln>
                  </pic:spPr>
                </pic:pic>
              </a:graphicData>
            </a:graphic>
          </wp:inline>
        </w:drawing>
      </w:r>
    </w:p>
    <w:p w14:paraId="03438E6A">
      <w:pPr>
        <w:ind w:firstLine="640"/>
        <w:rPr>
          <w:rFonts w:ascii="黑体" w:hAnsi="黑体" w:eastAsia="黑体" w:cs="Times New Roman"/>
          <w:sz w:val="32"/>
          <w:szCs w:val="30"/>
        </w:rPr>
      </w:pPr>
      <w:r>
        <w:rPr>
          <w:rFonts w:ascii="黑体" w:hAnsi="黑体" w:eastAsia="黑体" w:cs="Times New Roman"/>
          <w:sz w:val="32"/>
          <w:szCs w:val="30"/>
        </w:rPr>
        <w:t>九、财政拨款“三公”经费支出决算表</w:t>
      </w:r>
    </w:p>
    <w:p w14:paraId="4C248176">
      <w:pPr>
        <w:spacing w:before="96" w:line="5302" w:lineRule="exact"/>
        <w:ind w:firstLine="420"/>
      </w:pPr>
      <w:r>
        <w:rPr>
          <w:position w:val="-106"/>
        </w:rPr>
        <w:drawing>
          <wp:inline distT="0" distB="0" distL="0" distR="0">
            <wp:extent cx="4986655" cy="3171825"/>
            <wp:effectExtent l="19050" t="0" r="4254"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28" cstate="print"/>
                    <a:stretch>
                      <a:fillRect/>
                    </a:stretch>
                  </pic:blipFill>
                  <pic:spPr>
                    <a:xfrm>
                      <a:off x="0" y="0"/>
                      <a:ext cx="4991100" cy="3174531"/>
                    </a:xfrm>
                    <a:prstGeom prst="rect">
                      <a:avLst/>
                    </a:prstGeom>
                  </pic:spPr>
                </pic:pic>
              </a:graphicData>
            </a:graphic>
          </wp:inline>
        </w:drawing>
      </w:r>
    </w:p>
    <w:p w14:paraId="65F5B449">
      <w:pPr>
        <w:spacing w:line="362" w:lineRule="auto"/>
        <w:ind w:firstLine="198" w:firstLineChars="64"/>
        <w:rPr>
          <w:rFonts w:ascii="仿宋" w:hAnsi="仿宋" w:eastAsia="仿宋" w:cs="仿宋"/>
          <w:sz w:val="31"/>
          <w:szCs w:val="31"/>
        </w:rPr>
        <w:sectPr>
          <w:footerReference r:id="rId15" w:type="default"/>
          <w:pgSz w:w="11907" w:h="16839"/>
          <w:pgMar w:top="1431" w:right="1785" w:bottom="1153" w:left="1785" w:header="0" w:footer="965" w:gutter="0"/>
          <w:cols w:space="720" w:num="1"/>
        </w:sectPr>
      </w:pPr>
    </w:p>
    <w:p w14:paraId="6D16BCC3">
      <w:pPr>
        <w:ind w:firstLine="640"/>
        <w:rPr>
          <w:rFonts w:hint="eastAsia" w:ascii="黑体" w:hAnsi="黑体" w:eastAsia="黑体" w:cs="Times New Roman"/>
          <w:sz w:val="32"/>
          <w:szCs w:val="30"/>
        </w:rPr>
      </w:pPr>
    </w:p>
    <w:p w14:paraId="464B1A7B">
      <w:pPr>
        <w:ind w:firstLine="640"/>
        <w:rPr>
          <w:rFonts w:ascii="黑体" w:hAnsi="黑体" w:eastAsia="黑体" w:cs="Times New Roman"/>
          <w:sz w:val="32"/>
          <w:szCs w:val="30"/>
        </w:rPr>
      </w:pPr>
      <w:r>
        <w:rPr>
          <w:rFonts w:ascii="黑体" w:hAnsi="黑体" w:eastAsia="黑体" w:cs="Times New Roman"/>
          <w:sz w:val="32"/>
          <w:szCs w:val="30"/>
        </w:rPr>
        <w:t>十、部门预算项目支出绩效自评表</w:t>
      </w:r>
    </w:p>
    <w:p w14:paraId="0F3BC055">
      <w:pPr>
        <w:pStyle w:val="2"/>
        <w:spacing w:line="261" w:lineRule="auto"/>
        <w:ind w:firstLine="0" w:firstLineChars="0"/>
        <w:rPr>
          <w:rFonts w:hint="eastAsia" w:eastAsiaTheme="minorEastAsia"/>
          <w:lang w:eastAsia="zh-CN"/>
        </w:rPr>
      </w:pPr>
    </w:p>
    <w:p w14:paraId="296ACE7B">
      <w:pPr>
        <w:pStyle w:val="2"/>
        <w:spacing w:line="261" w:lineRule="auto"/>
        <w:ind w:firstLine="420"/>
        <w:rPr>
          <w:lang w:eastAsia="zh-CN"/>
        </w:rPr>
      </w:pPr>
    </w:p>
    <w:p w14:paraId="27E979AD">
      <w:pPr>
        <w:spacing w:line="9847" w:lineRule="exact"/>
        <w:ind w:firstLine="420"/>
        <w:sectPr>
          <w:headerReference r:id="rId16" w:type="default"/>
          <w:footerReference r:id="rId17" w:type="default"/>
          <w:pgSz w:w="11907" w:h="16839"/>
          <w:pgMar w:top="1431" w:right="1785" w:bottom="1153" w:left="1785" w:header="0" w:footer="965" w:gutter="0"/>
          <w:cols w:space="720" w:num="1"/>
        </w:sectPr>
      </w:pPr>
      <w:r>
        <w:rPr>
          <w:position w:val="-196"/>
        </w:rPr>
        <w:drawing>
          <wp:inline distT="0" distB="0" distL="0" distR="0">
            <wp:extent cx="4657090" cy="6252210"/>
            <wp:effectExtent l="1905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29"/>
                    <a:stretch>
                      <a:fillRect/>
                    </a:stretch>
                  </pic:blipFill>
                  <pic:spPr>
                    <a:xfrm>
                      <a:off x="0" y="0"/>
                      <a:ext cx="4657573" cy="6252844"/>
                    </a:xfrm>
                    <a:prstGeom prst="rect">
                      <a:avLst/>
                    </a:prstGeom>
                  </pic:spPr>
                </pic:pic>
              </a:graphicData>
            </a:graphic>
          </wp:inline>
        </w:drawing>
      </w:r>
    </w:p>
    <w:p w14:paraId="5921CAC1">
      <w:pPr>
        <w:spacing w:line="500" w:lineRule="exact"/>
        <w:ind w:firstLine="0" w:firstLineChars="0"/>
        <w:rPr>
          <w:rFonts w:ascii="方正小标宋简体" w:hAnsi="方正小标宋简体" w:eastAsia="方正小标宋简体" w:cs="Times New Roman"/>
          <w:sz w:val="44"/>
          <w:szCs w:val="20"/>
        </w:rPr>
      </w:pPr>
    </w:p>
    <w:p w14:paraId="697DE4EE">
      <w:pPr>
        <w:spacing w:line="500" w:lineRule="exact"/>
        <w:ind w:firstLine="0" w:firstLineChars="0"/>
        <w:jc w:val="center"/>
        <w:rPr>
          <w:rFonts w:hint="eastAsia" w:ascii="方正小标宋简体" w:hAnsi="方正小标宋简体" w:eastAsia="方正小标宋简体" w:cs="Times New Roman"/>
          <w:sz w:val="44"/>
          <w:szCs w:val="20"/>
        </w:rPr>
      </w:pPr>
    </w:p>
    <w:p w14:paraId="1B12A0CB">
      <w:pPr>
        <w:spacing w:line="500" w:lineRule="exact"/>
        <w:ind w:firstLine="0" w:firstLineChars="0"/>
        <w:jc w:val="center"/>
        <w:rPr>
          <w:rFonts w:hint="eastAsia" w:ascii="方正小标宋简体" w:hAnsi="方正小标宋简体" w:eastAsia="方正小标宋简体" w:cs="Times New Roman"/>
          <w:sz w:val="44"/>
          <w:szCs w:val="20"/>
        </w:rPr>
      </w:pPr>
      <w:r>
        <w:rPr>
          <w:rFonts w:ascii="方正小标宋简体" w:hAnsi="方正小标宋简体" w:eastAsia="方正小标宋简体" w:cs="Times New Roman"/>
          <w:sz w:val="44"/>
          <w:szCs w:val="20"/>
        </w:rPr>
        <w:t xml:space="preserve">第三部分2023 </w:t>
      </w:r>
      <w:r>
        <w:rPr>
          <w:rFonts w:hint="eastAsia" w:ascii="方正小标宋简体" w:hAnsi="方正小标宋简体" w:eastAsia="方正小标宋简体" w:cs="Times New Roman"/>
          <w:sz w:val="44"/>
          <w:szCs w:val="20"/>
        </w:rPr>
        <w:t>年度部门决算情况说明</w:t>
      </w:r>
    </w:p>
    <w:p w14:paraId="2C377958">
      <w:pPr>
        <w:spacing w:line="500" w:lineRule="exact"/>
        <w:ind w:firstLine="0" w:firstLineChars="0"/>
        <w:jc w:val="center"/>
        <w:rPr>
          <w:rFonts w:ascii="方正小标宋简体" w:hAnsi="方正小标宋简体" w:eastAsia="方正小标宋简体" w:cs="Times New Roman"/>
          <w:sz w:val="44"/>
          <w:szCs w:val="20"/>
        </w:rPr>
      </w:pPr>
    </w:p>
    <w:p w14:paraId="06E923AA">
      <w:pPr>
        <w:ind w:firstLine="640"/>
        <w:rPr>
          <w:rFonts w:ascii="黑体" w:hAnsi="黑体" w:eastAsia="黑体" w:cs="Times New Roman"/>
          <w:sz w:val="32"/>
          <w:szCs w:val="30"/>
        </w:rPr>
      </w:pPr>
      <w:r>
        <w:rPr>
          <w:rFonts w:hint="eastAsia" w:ascii="黑体" w:hAnsi="黑体" w:eastAsia="黑体" w:cs="Times New Roman"/>
          <w:sz w:val="32"/>
          <w:szCs w:val="30"/>
        </w:rPr>
        <w:t>一、收入支出决算总体情况说明</w:t>
      </w:r>
    </w:p>
    <w:p w14:paraId="0F1E75E1">
      <w:pPr>
        <w:ind w:firstLine="640"/>
        <w:rPr>
          <w:rFonts w:ascii="仿宋" w:hAnsi="仿宋" w:eastAsia="仿宋" w:cs="Times New Roman"/>
          <w:sz w:val="32"/>
          <w:szCs w:val="30"/>
        </w:rPr>
      </w:pPr>
      <w:r>
        <w:rPr>
          <w:rFonts w:hint="eastAsia" w:ascii="仿宋" w:hAnsi="仿宋" w:eastAsia="仿宋" w:cs="Times New Roman"/>
          <w:sz w:val="32"/>
          <w:szCs w:val="30"/>
        </w:rPr>
        <w:t>2023年度收、支总计均为2730.79万元。与2022年度相比，收、支总计各减少281.54万元，下降9.35%。主要原因：与上年相比，减少疫情防控经费。</w:t>
      </w:r>
    </w:p>
    <w:p w14:paraId="3C062D6F">
      <w:pPr>
        <w:ind w:firstLine="640"/>
        <w:rPr>
          <w:rFonts w:ascii="黑体" w:hAnsi="黑体" w:eastAsia="黑体" w:cs="Times New Roman"/>
          <w:sz w:val="32"/>
          <w:szCs w:val="30"/>
        </w:rPr>
      </w:pPr>
      <w:r>
        <w:rPr>
          <w:rFonts w:hint="eastAsia" w:ascii="黑体" w:hAnsi="黑体" w:eastAsia="黑体" w:cs="Times New Roman"/>
          <w:sz w:val="32"/>
          <w:szCs w:val="30"/>
        </w:rPr>
        <w:t>二、收入决算情况说明</w:t>
      </w:r>
    </w:p>
    <w:p w14:paraId="713914F3">
      <w:pPr>
        <w:ind w:firstLine="640"/>
        <w:rPr>
          <w:rFonts w:ascii="仿宋" w:hAnsi="仿宋" w:eastAsia="仿宋" w:cs="Times New Roman"/>
          <w:sz w:val="32"/>
          <w:szCs w:val="30"/>
        </w:rPr>
      </w:pPr>
      <w:r>
        <w:rPr>
          <w:rFonts w:hint="eastAsia" w:ascii="仿宋" w:hAnsi="仿宋" w:eastAsia="仿宋" w:cs="Times New Roman"/>
          <w:sz w:val="32"/>
          <w:szCs w:val="30"/>
        </w:rPr>
        <w:t>本年收入合计2730.79万元，其中：财政拨款收入2725.05万元，比上年减少285.09万元，下降9.46%；上级补助收入0万元；事业收入0万元；经营收入0万元；附属单位上缴收入0万元；其他收入5.74万元，比上年增加3.55万元，增长162.10%。</w:t>
      </w:r>
    </w:p>
    <w:p w14:paraId="2FE47E37">
      <w:pPr>
        <w:ind w:firstLine="640"/>
        <w:rPr>
          <w:rFonts w:ascii="黑体" w:hAnsi="黑体" w:eastAsia="黑体" w:cs="Times New Roman"/>
          <w:sz w:val="32"/>
          <w:szCs w:val="30"/>
        </w:rPr>
      </w:pPr>
      <w:r>
        <w:rPr>
          <w:rFonts w:hint="eastAsia" w:ascii="黑体" w:hAnsi="黑体" w:eastAsia="黑体" w:cs="Times New Roman"/>
          <w:sz w:val="32"/>
          <w:szCs w:val="30"/>
        </w:rPr>
        <w:t>三、支出决算情况说明</w:t>
      </w:r>
    </w:p>
    <w:p w14:paraId="01BB6931">
      <w:pPr>
        <w:ind w:firstLine="640"/>
        <w:rPr>
          <w:rFonts w:ascii="仿宋" w:hAnsi="仿宋" w:eastAsia="仿宋" w:cs="Times New Roman"/>
          <w:sz w:val="32"/>
          <w:szCs w:val="30"/>
        </w:rPr>
      </w:pPr>
      <w:r>
        <w:rPr>
          <w:rFonts w:hint="eastAsia" w:ascii="仿宋" w:hAnsi="仿宋" w:eastAsia="仿宋" w:cs="Times New Roman"/>
          <w:sz w:val="32"/>
          <w:szCs w:val="30"/>
        </w:rPr>
        <w:t>本年支出合计2730.79万元，其中：基本支出1399.96万元，比上年增加478.30万元，增长51.90%；项目支出1330.83万元，比上年减少759.84万元，下降36.34%；上缴上级支出0万元；经营支出0万元；对附属单位补助支出0万元。</w:t>
      </w:r>
    </w:p>
    <w:p w14:paraId="30501BA4">
      <w:pPr>
        <w:ind w:firstLine="640"/>
        <w:rPr>
          <w:rFonts w:ascii="黑体" w:hAnsi="黑体" w:eastAsia="黑体" w:cs="Times New Roman"/>
          <w:sz w:val="32"/>
          <w:szCs w:val="30"/>
        </w:rPr>
      </w:pPr>
      <w:r>
        <w:rPr>
          <w:rFonts w:hint="eastAsia" w:ascii="黑体" w:hAnsi="黑体" w:eastAsia="黑体" w:cs="Times New Roman"/>
          <w:sz w:val="32"/>
          <w:szCs w:val="30"/>
        </w:rPr>
        <w:t>四、财政拨款收入支出决算总体情况说明</w:t>
      </w:r>
    </w:p>
    <w:p w14:paraId="137085F1">
      <w:pPr>
        <w:ind w:firstLine="640"/>
        <w:rPr>
          <w:rFonts w:ascii="仿宋" w:hAnsi="仿宋" w:eastAsia="仿宋" w:cs="Times New Roman"/>
          <w:sz w:val="32"/>
          <w:szCs w:val="30"/>
        </w:rPr>
      </w:pPr>
      <w:r>
        <w:rPr>
          <w:rFonts w:hint="eastAsia" w:ascii="仿宋" w:hAnsi="仿宋" w:eastAsia="仿宋" w:cs="Times New Roman"/>
          <w:sz w:val="32"/>
          <w:szCs w:val="30"/>
        </w:rPr>
        <w:t>2023年度财政拨款收、支总计均为2725.05万元，与2022年相比，财政拨款收、支总计各减少285.09万元，降低9.47%。主要原因:与上年相比，减少疫情防控经费。</w:t>
      </w:r>
    </w:p>
    <w:p w14:paraId="269C3EAD">
      <w:pPr>
        <w:ind w:firstLine="640"/>
        <w:rPr>
          <w:rFonts w:ascii="黑体" w:hAnsi="黑体" w:eastAsia="黑体" w:cs="Times New Roman"/>
          <w:sz w:val="32"/>
          <w:szCs w:val="30"/>
        </w:rPr>
      </w:pPr>
      <w:r>
        <w:rPr>
          <w:rFonts w:hint="eastAsia" w:ascii="黑体" w:hAnsi="黑体" w:eastAsia="黑体" w:cs="Times New Roman"/>
          <w:sz w:val="32"/>
          <w:szCs w:val="30"/>
        </w:rPr>
        <w:t>五、一般公共预算财政拨款支出决算情况说明</w:t>
      </w:r>
    </w:p>
    <w:p w14:paraId="1BA32E31">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（一）一般公共预算财政拨款支出决算总体情况</w:t>
      </w:r>
    </w:p>
    <w:p w14:paraId="0636C382">
      <w:pPr>
        <w:ind w:firstLine="640"/>
        <w:rPr>
          <w:rFonts w:ascii="仿宋" w:hAnsi="仿宋" w:eastAsia="仿宋" w:cs="Times New Roman"/>
          <w:sz w:val="32"/>
          <w:szCs w:val="30"/>
        </w:rPr>
      </w:pPr>
      <w:r>
        <w:rPr>
          <w:rFonts w:hint="eastAsia" w:ascii="仿宋" w:hAnsi="仿宋" w:eastAsia="仿宋" w:cs="Times New Roman"/>
          <w:sz w:val="32"/>
          <w:szCs w:val="30"/>
        </w:rPr>
        <w:t>2023年度一般公共预算财政拨款支出2709.18万元，占本年支出合计的99.21%。与2022年度相比，一般公共预算财政拨款支出减少300.96万元，降低10.00%。主要原因：减少了疫情防控相关支出。</w:t>
      </w:r>
    </w:p>
    <w:p w14:paraId="2B7947C5">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（二）一般公共预算财政拨款支出决算结构情况</w:t>
      </w:r>
    </w:p>
    <w:p w14:paraId="124BEEEA">
      <w:pPr>
        <w:ind w:firstLine="640"/>
        <w:rPr>
          <w:rFonts w:ascii="仿宋" w:hAnsi="仿宋" w:eastAsia="仿宋" w:cs="Times New Roman"/>
          <w:sz w:val="32"/>
          <w:szCs w:val="30"/>
        </w:rPr>
      </w:pPr>
      <w:r>
        <w:rPr>
          <w:rFonts w:hint="eastAsia" w:ascii="仿宋" w:hAnsi="仿宋" w:eastAsia="仿宋" w:cs="Times New Roman"/>
          <w:sz w:val="32"/>
          <w:szCs w:val="30"/>
        </w:rPr>
        <w:t>2023年度一般公共预算财政拨款支出2709.18万元，主要用于以下方面：一般公共服务支出1667.29万元，占61.54%；文化旅游体育与传媒支出5万元，占0.18%；社会保障和就业支出730.63万元，占26.97%；城乡社区支出177.94万元，占6.57%；住房保障支出128.32万元，占4.74%。</w:t>
      </w:r>
    </w:p>
    <w:p w14:paraId="793F92D2">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（三）一般公共预算财政拨款支出决算具体情况</w:t>
      </w:r>
    </w:p>
    <w:p w14:paraId="747B67E3">
      <w:pPr>
        <w:ind w:firstLine="640"/>
        <w:rPr>
          <w:rFonts w:ascii="仿宋" w:hAnsi="仿宋" w:eastAsia="仿宋" w:cs="Times New Roman"/>
          <w:sz w:val="32"/>
          <w:szCs w:val="30"/>
        </w:rPr>
      </w:pPr>
      <w:r>
        <w:rPr>
          <w:rFonts w:hint="eastAsia" w:ascii="仿宋" w:hAnsi="仿宋" w:eastAsia="仿宋" w:cs="Times New Roman"/>
          <w:sz w:val="32"/>
          <w:szCs w:val="30"/>
        </w:rPr>
        <w:t>2023 年度一般公共预算财政拨款支出年初预算为1894万元，支出决算为2709.18万元，完成年初预算的143.04%。其中：</w:t>
      </w:r>
    </w:p>
    <w:p w14:paraId="7620FB42">
      <w:pPr>
        <w:ind w:firstLine="640"/>
        <w:rPr>
          <w:rFonts w:ascii="仿宋" w:hAnsi="仿宋" w:eastAsia="仿宋" w:cs="Times New Roman"/>
          <w:sz w:val="32"/>
          <w:szCs w:val="30"/>
        </w:rPr>
      </w:pPr>
      <w:r>
        <w:rPr>
          <w:rFonts w:hint="eastAsia" w:ascii="仿宋" w:hAnsi="仿宋" w:eastAsia="仿宋" w:cs="Times New Roman"/>
          <w:sz w:val="32"/>
          <w:szCs w:val="30"/>
        </w:rPr>
        <w:t>1.一般公共服务支出（类）政府办公厅及相关机构事务（款）行政运行（项），年初预算为1653万元，支出决算为892.07万元，完成年初预算的53.97%。</w:t>
      </w:r>
    </w:p>
    <w:p w14:paraId="0CC07B7C">
      <w:pPr>
        <w:ind w:firstLine="640"/>
        <w:rPr>
          <w:rFonts w:ascii="仿宋" w:hAnsi="仿宋" w:eastAsia="仿宋" w:cs="Times New Roman"/>
          <w:sz w:val="32"/>
          <w:szCs w:val="30"/>
        </w:rPr>
      </w:pPr>
      <w:r>
        <w:rPr>
          <w:rFonts w:hint="eastAsia" w:ascii="仿宋" w:hAnsi="仿宋" w:eastAsia="仿宋" w:cs="Times New Roman"/>
          <w:sz w:val="32"/>
          <w:szCs w:val="30"/>
        </w:rPr>
        <w:t>2.一般公共服务支出（类）政府办公厅及相关机构事务（款）一般行政管理事务（项），年初预算为32万元，支出决算为291.45万元，完成年初预算的910.78%。</w:t>
      </w:r>
    </w:p>
    <w:p w14:paraId="2C8C8859">
      <w:pPr>
        <w:ind w:firstLine="640"/>
        <w:rPr>
          <w:rFonts w:ascii="仿宋" w:hAnsi="仿宋" w:eastAsia="仿宋" w:cs="Times New Roman"/>
          <w:sz w:val="32"/>
          <w:szCs w:val="30"/>
        </w:rPr>
      </w:pPr>
      <w:r>
        <w:rPr>
          <w:rFonts w:hint="eastAsia" w:ascii="仿宋" w:hAnsi="仿宋" w:eastAsia="仿宋" w:cs="Times New Roman"/>
          <w:sz w:val="32"/>
          <w:szCs w:val="30"/>
        </w:rPr>
        <w:t>3.一般公共服务支出（类）政府办公厅及相关机构事务（款）信访事务（项），年初预算为24万元，支出决算为27.59万元，完成年初预算的114.96%。</w:t>
      </w:r>
    </w:p>
    <w:p w14:paraId="04D2DD29">
      <w:pPr>
        <w:ind w:firstLine="640"/>
        <w:rPr>
          <w:rFonts w:ascii="仿宋" w:hAnsi="仿宋" w:eastAsia="仿宋" w:cs="Times New Roman"/>
          <w:sz w:val="32"/>
          <w:szCs w:val="30"/>
        </w:rPr>
      </w:pPr>
      <w:r>
        <w:rPr>
          <w:rFonts w:hint="eastAsia" w:ascii="仿宋" w:hAnsi="仿宋" w:eastAsia="仿宋" w:cs="Times New Roman"/>
          <w:sz w:val="32"/>
          <w:szCs w:val="30"/>
        </w:rPr>
        <w:t>4.一般公共服务支出（类）政府办公厅及相关机构事务（款）事业运行（项），支出决算为300.59万元。</w:t>
      </w:r>
    </w:p>
    <w:p w14:paraId="3891A22D">
      <w:pPr>
        <w:ind w:firstLine="640"/>
        <w:rPr>
          <w:rFonts w:ascii="仿宋" w:hAnsi="仿宋" w:eastAsia="仿宋" w:cs="Times New Roman"/>
          <w:sz w:val="32"/>
          <w:szCs w:val="30"/>
        </w:rPr>
      </w:pPr>
      <w:r>
        <w:rPr>
          <w:rFonts w:hint="eastAsia" w:ascii="仿宋" w:hAnsi="仿宋" w:eastAsia="仿宋" w:cs="Times New Roman"/>
          <w:sz w:val="32"/>
          <w:szCs w:val="30"/>
        </w:rPr>
        <w:t>5.一般公共服务支出（类）民族事务（款）其他民族事务支出（项），支出决算为17.64万元。</w:t>
      </w:r>
    </w:p>
    <w:p w14:paraId="3F8C616A">
      <w:pPr>
        <w:ind w:firstLine="640"/>
        <w:rPr>
          <w:rFonts w:ascii="仿宋" w:hAnsi="仿宋" w:eastAsia="仿宋" w:cs="Times New Roman"/>
          <w:sz w:val="32"/>
          <w:szCs w:val="30"/>
        </w:rPr>
      </w:pPr>
      <w:r>
        <w:rPr>
          <w:rFonts w:hint="eastAsia" w:ascii="仿宋" w:hAnsi="仿宋" w:eastAsia="仿宋" w:cs="Times New Roman"/>
          <w:sz w:val="32"/>
          <w:szCs w:val="30"/>
        </w:rPr>
        <w:t>6.一般公共服务支出（类）组织事务（款）一般行政管理事务（项），年初预算为32万元，支出决算为119.98万元，完成年初预算的374.94%。</w:t>
      </w:r>
    </w:p>
    <w:p w14:paraId="60DB7724">
      <w:pPr>
        <w:ind w:firstLine="640"/>
        <w:rPr>
          <w:rFonts w:ascii="仿宋" w:hAnsi="仿宋" w:eastAsia="仿宋" w:cs="Times New Roman"/>
          <w:sz w:val="32"/>
          <w:szCs w:val="30"/>
        </w:rPr>
      </w:pPr>
      <w:r>
        <w:rPr>
          <w:rFonts w:hint="eastAsia" w:ascii="仿宋" w:hAnsi="仿宋" w:eastAsia="仿宋" w:cs="Times New Roman"/>
          <w:sz w:val="32"/>
          <w:szCs w:val="30"/>
        </w:rPr>
        <w:t>7.一般公共服务支出（类）组织事务（款）  其他组织事务支出（项），支出决算为17.97万元。</w:t>
      </w:r>
    </w:p>
    <w:p w14:paraId="45A75279">
      <w:pPr>
        <w:ind w:firstLine="640"/>
        <w:rPr>
          <w:rFonts w:ascii="仿宋" w:hAnsi="仿宋" w:eastAsia="仿宋" w:cs="Times New Roman"/>
          <w:sz w:val="32"/>
          <w:szCs w:val="30"/>
        </w:rPr>
      </w:pPr>
      <w:r>
        <w:rPr>
          <w:rFonts w:hint="eastAsia" w:ascii="仿宋" w:hAnsi="仿宋" w:eastAsia="仿宋" w:cs="Times New Roman"/>
          <w:sz w:val="32"/>
          <w:szCs w:val="30"/>
        </w:rPr>
        <w:t>8.文化旅游体育与传媒支出（类）文化和旅游（款）文化和旅游（项）支出决算为5万元。</w:t>
      </w:r>
    </w:p>
    <w:p w14:paraId="0623FCB6">
      <w:pPr>
        <w:ind w:firstLine="640"/>
        <w:rPr>
          <w:rFonts w:ascii="仿宋" w:hAnsi="仿宋" w:eastAsia="仿宋" w:cs="Times New Roman"/>
          <w:sz w:val="32"/>
          <w:szCs w:val="30"/>
        </w:rPr>
      </w:pPr>
      <w:r>
        <w:rPr>
          <w:rFonts w:hint="eastAsia" w:ascii="仿宋" w:hAnsi="仿宋" w:eastAsia="仿宋" w:cs="Times New Roman"/>
          <w:sz w:val="32"/>
          <w:szCs w:val="30"/>
        </w:rPr>
        <w:t>9.文化旅游体育与传媒支出（类）文化和旅游（款）其他文化和旅游支出（项）支出决算为5万元。</w:t>
      </w:r>
    </w:p>
    <w:p w14:paraId="47CD325B">
      <w:pPr>
        <w:ind w:firstLine="640"/>
        <w:rPr>
          <w:rFonts w:ascii="仿宋" w:hAnsi="仿宋" w:eastAsia="仿宋" w:cs="Times New Roman"/>
          <w:sz w:val="32"/>
          <w:szCs w:val="30"/>
        </w:rPr>
      </w:pPr>
      <w:r>
        <w:rPr>
          <w:rFonts w:hint="eastAsia" w:ascii="仿宋" w:hAnsi="仿宋" w:eastAsia="仿宋" w:cs="Times New Roman"/>
          <w:sz w:val="32"/>
          <w:szCs w:val="30"/>
        </w:rPr>
        <w:t>10.社会保障和就业支出（类）民政管理事务（款）基层政权和社区治理（项），年初预算为10万元，支出决算为106.49万元，完成年初预算的1064.9%。</w:t>
      </w:r>
    </w:p>
    <w:p w14:paraId="74B58ED9">
      <w:pPr>
        <w:ind w:firstLine="640"/>
        <w:rPr>
          <w:rFonts w:ascii="仿宋" w:hAnsi="仿宋" w:eastAsia="仿宋" w:cs="Times New Roman"/>
          <w:sz w:val="32"/>
          <w:szCs w:val="30"/>
        </w:rPr>
      </w:pPr>
      <w:r>
        <w:rPr>
          <w:rFonts w:hint="eastAsia" w:ascii="仿宋" w:hAnsi="仿宋" w:eastAsia="仿宋" w:cs="Times New Roman"/>
          <w:sz w:val="32"/>
          <w:szCs w:val="30"/>
        </w:rPr>
        <w:t>11.社会保障和就业支出（类）民政管理事务（款）其他民政管理事务支出（项），支出决算为509.82万元。</w:t>
      </w:r>
    </w:p>
    <w:p w14:paraId="60AFEE05">
      <w:pPr>
        <w:ind w:firstLine="640"/>
        <w:rPr>
          <w:rFonts w:ascii="仿宋" w:hAnsi="仿宋" w:eastAsia="仿宋" w:cs="Times New Roman"/>
          <w:sz w:val="32"/>
          <w:szCs w:val="30"/>
        </w:rPr>
      </w:pPr>
      <w:r>
        <w:rPr>
          <w:rFonts w:hint="eastAsia" w:ascii="仿宋" w:hAnsi="仿宋" w:eastAsia="仿宋" w:cs="Times New Roman"/>
          <w:sz w:val="32"/>
          <w:szCs w:val="30"/>
        </w:rPr>
        <w:t>12.社会保障和就业支出（类）企业改革补助（款）其他企业改革发展补助（项），支出决算为17.09万元。</w:t>
      </w:r>
    </w:p>
    <w:p w14:paraId="510139A8">
      <w:pPr>
        <w:ind w:firstLine="640"/>
        <w:rPr>
          <w:rFonts w:ascii="仿宋" w:hAnsi="仿宋" w:eastAsia="仿宋" w:cs="Times New Roman"/>
          <w:sz w:val="32"/>
          <w:szCs w:val="30"/>
        </w:rPr>
      </w:pPr>
      <w:r>
        <w:rPr>
          <w:rFonts w:hint="eastAsia" w:ascii="仿宋" w:hAnsi="仿宋" w:eastAsia="仿宋" w:cs="Times New Roman"/>
          <w:sz w:val="32"/>
          <w:szCs w:val="30"/>
        </w:rPr>
        <w:t>13.社会保障和就业支出（类）社会福利（款）养老服务（项），支出决算为20.00万元。</w:t>
      </w:r>
    </w:p>
    <w:p w14:paraId="7E875813">
      <w:pPr>
        <w:ind w:firstLine="640"/>
        <w:rPr>
          <w:rFonts w:ascii="仿宋" w:hAnsi="仿宋" w:eastAsia="仿宋" w:cs="Times New Roman"/>
          <w:sz w:val="32"/>
          <w:szCs w:val="30"/>
        </w:rPr>
      </w:pPr>
      <w:r>
        <w:rPr>
          <w:rFonts w:hint="eastAsia" w:ascii="仿宋" w:hAnsi="仿宋" w:eastAsia="仿宋" w:cs="Times New Roman"/>
          <w:sz w:val="32"/>
          <w:szCs w:val="30"/>
        </w:rPr>
        <w:t>14.社会保障和就业支出（类）临时救助（款）临时救助支出（项），支出决算为27.18万元。</w:t>
      </w:r>
    </w:p>
    <w:p w14:paraId="1362112E">
      <w:pPr>
        <w:ind w:firstLine="640"/>
        <w:rPr>
          <w:rFonts w:ascii="仿宋" w:hAnsi="仿宋" w:eastAsia="仿宋" w:cs="Times New Roman"/>
          <w:sz w:val="32"/>
          <w:szCs w:val="30"/>
        </w:rPr>
      </w:pPr>
      <w:r>
        <w:rPr>
          <w:rFonts w:hint="eastAsia" w:ascii="仿宋" w:hAnsi="仿宋" w:eastAsia="仿宋" w:cs="Times New Roman"/>
          <w:sz w:val="32"/>
          <w:szCs w:val="30"/>
        </w:rPr>
        <w:t>15.社会保障和就业支出（类）其他生活救助（款）其他城市生活救助支出（项），支出决算为47.85万元。</w:t>
      </w:r>
    </w:p>
    <w:p w14:paraId="3A3154E6">
      <w:pPr>
        <w:ind w:firstLine="640"/>
        <w:rPr>
          <w:rFonts w:ascii="仿宋" w:hAnsi="仿宋" w:eastAsia="仿宋" w:cs="Times New Roman"/>
          <w:sz w:val="32"/>
          <w:szCs w:val="30"/>
        </w:rPr>
      </w:pPr>
      <w:r>
        <w:rPr>
          <w:rFonts w:hint="eastAsia" w:ascii="仿宋" w:hAnsi="仿宋" w:eastAsia="仿宋" w:cs="Times New Roman"/>
          <w:sz w:val="32"/>
          <w:szCs w:val="30"/>
        </w:rPr>
        <w:t>16.社会保障和就业支出（类）其他社会保障和就业支出（款）  其他社会保障和就业支出（项），支出决算为2.2万元。</w:t>
      </w:r>
    </w:p>
    <w:p w14:paraId="344C1F65">
      <w:pPr>
        <w:ind w:firstLine="640"/>
        <w:rPr>
          <w:rFonts w:ascii="仿宋" w:hAnsi="仿宋" w:eastAsia="仿宋" w:cs="Times New Roman"/>
          <w:sz w:val="32"/>
          <w:szCs w:val="30"/>
        </w:rPr>
      </w:pPr>
      <w:r>
        <w:rPr>
          <w:rFonts w:hint="eastAsia" w:ascii="仿宋" w:hAnsi="仿宋" w:eastAsia="仿宋" w:cs="Times New Roman"/>
          <w:sz w:val="32"/>
          <w:szCs w:val="30"/>
        </w:rPr>
        <w:t>17.城乡社区支出（类）城乡社区环境卫生（款）城乡社区环境卫生（项）年初预算为92万元，支出决算为177.94万元，完成年初预算的192.83%。</w:t>
      </w:r>
    </w:p>
    <w:p w14:paraId="745B499A">
      <w:pPr>
        <w:ind w:firstLine="640"/>
        <w:rPr>
          <w:rFonts w:ascii="仿宋" w:hAnsi="仿宋" w:eastAsia="仿宋" w:cs="Times New Roman"/>
          <w:sz w:val="32"/>
          <w:szCs w:val="30"/>
        </w:rPr>
      </w:pPr>
      <w:r>
        <w:rPr>
          <w:rFonts w:hint="eastAsia" w:ascii="仿宋" w:hAnsi="仿宋" w:eastAsia="仿宋" w:cs="Times New Roman"/>
          <w:sz w:val="32"/>
          <w:szCs w:val="30"/>
        </w:rPr>
        <w:t>18.住房保障支出（类）住房改革支出（款）住房公积金支出（项）年初预算为83万元，支出决算为128.32万元，完成年初预算的154.6%。</w:t>
      </w:r>
    </w:p>
    <w:p w14:paraId="58C6B902">
      <w:pPr>
        <w:ind w:firstLine="640"/>
        <w:rPr>
          <w:rFonts w:ascii="黑体" w:hAnsi="黑体" w:eastAsia="黑体" w:cs="Times New Roman"/>
          <w:sz w:val="32"/>
          <w:szCs w:val="30"/>
        </w:rPr>
      </w:pPr>
      <w:r>
        <w:rPr>
          <w:rFonts w:hint="eastAsia" w:ascii="黑体" w:hAnsi="黑体" w:eastAsia="黑体" w:cs="Times New Roman"/>
          <w:sz w:val="32"/>
          <w:szCs w:val="30"/>
        </w:rPr>
        <w:t>六、一般公共预算财政拨款基本支出决算情况说明</w:t>
      </w:r>
    </w:p>
    <w:p w14:paraId="36D846FE">
      <w:pPr>
        <w:ind w:firstLine="640"/>
        <w:rPr>
          <w:rFonts w:ascii="仿宋" w:hAnsi="仿宋" w:eastAsia="仿宋" w:cs="Times New Roman"/>
          <w:sz w:val="32"/>
          <w:szCs w:val="30"/>
        </w:rPr>
      </w:pPr>
      <w:r>
        <w:rPr>
          <w:rFonts w:hint="eastAsia" w:ascii="仿宋" w:hAnsi="仿宋" w:eastAsia="仿宋" w:cs="Times New Roman"/>
          <w:sz w:val="32"/>
          <w:szCs w:val="30"/>
        </w:rPr>
        <w:t>2023 年度一般公共预算财政拨款基本支出1397.17万元，其中：</w:t>
      </w:r>
    </w:p>
    <w:p w14:paraId="1A2182FD">
      <w:pPr>
        <w:ind w:firstLine="643"/>
        <w:rPr>
          <w:rFonts w:ascii="仿宋" w:hAnsi="仿宋" w:eastAsia="仿宋" w:cs="Times New Roman"/>
          <w:sz w:val="32"/>
          <w:szCs w:val="30"/>
        </w:rPr>
      </w:pPr>
      <w:r>
        <w:rPr>
          <w:rFonts w:hint="eastAsia" w:ascii="楷体" w:hAnsi="楷体" w:eastAsia="楷体" w:cs="Times New Roman"/>
          <w:b/>
          <w:bCs/>
          <w:sz w:val="32"/>
          <w:szCs w:val="20"/>
        </w:rPr>
        <w:t>人员经费1146.56万元，主要包括：</w:t>
      </w:r>
      <w:r>
        <w:rPr>
          <w:rFonts w:hint="eastAsia" w:ascii="仿宋" w:hAnsi="仿宋" w:eastAsia="仿宋" w:cs="Times New Roman"/>
          <w:sz w:val="32"/>
          <w:szCs w:val="30"/>
        </w:rPr>
        <w:t>基本工资、津贴补贴、奖金、伙食补助费、绩效工资、机关事业单位基本养老保险缴费、职业年金缴费、职工基本医疗保险缴费、公务员医疗补助缴费、其他社会保障缴费、住房公积金、医疗费、其他工资福利支出、离休费、退休费、退职（役）费、抚恤金、生活补助、救济费、医疗费补助、助学金、奖励金、个人农业生产补贴、代缴社会保险费和其他对个人和家庭的补助。</w:t>
      </w:r>
    </w:p>
    <w:p w14:paraId="7881DCB4">
      <w:pPr>
        <w:ind w:firstLine="643"/>
        <w:rPr>
          <w:rFonts w:ascii="仿宋" w:hAnsi="仿宋" w:eastAsia="仿宋" w:cs="Times New Roman"/>
          <w:sz w:val="32"/>
          <w:szCs w:val="30"/>
        </w:rPr>
      </w:pPr>
      <w:r>
        <w:rPr>
          <w:rFonts w:hint="eastAsia" w:ascii="楷体" w:hAnsi="楷体" w:eastAsia="楷体" w:cs="Times New Roman"/>
          <w:b/>
          <w:bCs/>
          <w:sz w:val="32"/>
          <w:szCs w:val="20"/>
        </w:rPr>
        <w:t>公用经费250.61万元，主要包括：</w:t>
      </w:r>
      <w:r>
        <w:rPr>
          <w:rFonts w:hint="eastAsia" w:ascii="仿宋" w:hAnsi="仿宋" w:eastAsia="仿宋" w:cs="Times New Roman"/>
          <w:sz w:val="32"/>
          <w:szCs w:val="30"/>
        </w:rPr>
        <w:t>办公费、印刷费、咨询费、手续费、水费、电费、邮电费、取暖费、物业管理费、差旅费、因公出国（境）费、维修（护）费、租赁费、会议费、培训费、公务接待费、专用材料费、被装购置费、专用燃料费、劳务费、委托业务费、工会经费、福利费、公务用车运行维护费、其他交通费用、税金及附加费用、其他商品和服务支出、房屋建筑物购建、办公设备购置、专用设备购置、基础设施建设、大型修缮、信息网络及软件购置更新、其他资本性支出</w:t>
      </w:r>
    </w:p>
    <w:p w14:paraId="69812626">
      <w:pPr>
        <w:ind w:firstLine="640"/>
        <w:rPr>
          <w:rFonts w:ascii="黑体" w:hAnsi="黑体" w:eastAsia="黑体" w:cs="Times New Roman"/>
          <w:sz w:val="32"/>
          <w:szCs w:val="30"/>
        </w:rPr>
      </w:pPr>
      <w:r>
        <w:rPr>
          <w:rFonts w:hint="eastAsia" w:ascii="黑体" w:hAnsi="黑体" w:eastAsia="黑体" w:cs="Times New Roman"/>
          <w:sz w:val="32"/>
          <w:szCs w:val="30"/>
        </w:rPr>
        <w:t>七、政府性基金预算财政拨款收入支出决算情况说明</w:t>
      </w:r>
    </w:p>
    <w:p w14:paraId="36D4589C">
      <w:pPr>
        <w:ind w:firstLine="640"/>
        <w:rPr>
          <w:rFonts w:ascii="仿宋" w:hAnsi="仿宋" w:eastAsia="仿宋" w:cs="Times New Roman"/>
          <w:sz w:val="32"/>
          <w:szCs w:val="30"/>
        </w:rPr>
      </w:pPr>
      <w:r>
        <w:rPr>
          <w:rFonts w:hint="eastAsia" w:ascii="仿宋" w:hAnsi="仿宋" w:eastAsia="仿宋" w:cs="Times New Roman"/>
          <w:sz w:val="32"/>
          <w:szCs w:val="30"/>
        </w:rPr>
        <w:t>2023 年度政府性基金预算财政拨款年初结转和结余0万元；本年收入15.87万元，比上年增加6.87万元，增长763.33%，主要是用于2023年市级彩票公益金支持居家和社区基本养老服务提升行动试点项目（长通永宁路敬老餐厅）和老年巡访关爱项目支出；本年支出15.87万元，比上年增加6.87万元，增长763.33%，主要是用于2023年市级彩票公益金支持居家和社区基本养老服务提升行动试点项目（长通永宁路敬老餐厅）和老年巡访关爱项目支出；年末结转和结余0万元。支出具体情况如下：</w:t>
      </w:r>
    </w:p>
    <w:p w14:paraId="4F00C01D">
      <w:pPr>
        <w:ind w:firstLine="640"/>
        <w:rPr>
          <w:rFonts w:ascii="仿宋" w:hAnsi="仿宋" w:eastAsia="仿宋" w:cs="Times New Roman"/>
          <w:sz w:val="32"/>
          <w:szCs w:val="30"/>
        </w:rPr>
      </w:pPr>
      <w:r>
        <w:rPr>
          <w:rFonts w:hint="eastAsia" w:ascii="仿宋" w:hAnsi="仿宋" w:eastAsia="仿宋" w:cs="Times New Roman"/>
          <w:sz w:val="32"/>
          <w:szCs w:val="30"/>
        </w:rPr>
        <w:t>其他支出（类）彩票公益金安排的支出（款）用于社会福利的彩票公益金支出（项）。政府性基金财政拨款支出为15.87万元，主要是用于2023年市级彩票公益金支持居家和社区基本养老服务提升行动试点项目（长通永宁路敬老餐厅）和老年巡访关爱项目支出。</w:t>
      </w:r>
    </w:p>
    <w:p w14:paraId="488BECE8">
      <w:pPr>
        <w:ind w:firstLine="640"/>
        <w:rPr>
          <w:rFonts w:ascii="黑体" w:hAnsi="黑体" w:eastAsia="黑体" w:cs="Times New Roman"/>
          <w:sz w:val="32"/>
          <w:szCs w:val="30"/>
        </w:rPr>
      </w:pPr>
      <w:r>
        <w:rPr>
          <w:rFonts w:hint="eastAsia" w:ascii="黑体" w:hAnsi="黑体" w:eastAsia="黑体" w:cs="Times New Roman"/>
          <w:sz w:val="32"/>
          <w:szCs w:val="30"/>
        </w:rPr>
        <w:t>八、国有资本经营预算财政拨款支出决算情况说明</w:t>
      </w:r>
    </w:p>
    <w:p w14:paraId="14F285A3">
      <w:pPr>
        <w:ind w:firstLine="640"/>
        <w:rPr>
          <w:rFonts w:ascii="仿宋" w:hAnsi="仿宋" w:eastAsia="仿宋" w:cs="Times New Roman"/>
          <w:sz w:val="32"/>
          <w:szCs w:val="30"/>
        </w:rPr>
      </w:pPr>
      <w:r>
        <w:rPr>
          <w:rFonts w:hint="eastAsia" w:ascii="仿宋" w:hAnsi="仿宋" w:eastAsia="仿宋" w:cs="Times New Roman"/>
          <w:sz w:val="32"/>
          <w:szCs w:val="30"/>
        </w:rPr>
        <w:t>2023年度国有资本经营预算年初结转和结余 0 万元；本年收入 0万元；本年支出 0万元，年末结转和结余 0万元。无支出具体情况。</w:t>
      </w:r>
    </w:p>
    <w:p w14:paraId="68B18DF9">
      <w:pPr>
        <w:ind w:firstLine="640"/>
        <w:rPr>
          <w:rFonts w:ascii="黑体" w:hAnsi="黑体" w:eastAsia="黑体" w:cs="Times New Roman"/>
          <w:sz w:val="32"/>
          <w:szCs w:val="30"/>
        </w:rPr>
      </w:pPr>
      <w:r>
        <w:rPr>
          <w:rFonts w:hint="eastAsia" w:ascii="黑体" w:hAnsi="黑体" w:eastAsia="黑体" w:cs="Times New Roman"/>
          <w:sz w:val="32"/>
          <w:szCs w:val="30"/>
        </w:rPr>
        <w:t>九、财政拨款“三公”经费支出决算情况说明</w:t>
      </w:r>
    </w:p>
    <w:p w14:paraId="72F8E563">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（一）“三公”经费财政拨款支出决算总体情况说明</w:t>
      </w:r>
    </w:p>
    <w:p w14:paraId="0D173D84">
      <w:pPr>
        <w:ind w:firstLine="640"/>
        <w:rPr>
          <w:rFonts w:ascii="仿宋" w:hAnsi="仿宋" w:eastAsia="仿宋" w:cs="Times New Roman"/>
          <w:sz w:val="32"/>
          <w:szCs w:val="30"/>
        </w:rPr>
      </w:pPr>
      <w:r>
        <w:rPr>
          <w:rFonts w:hint="eastAsia" w:ascii="仿宋" w:hAnsi="仿宋" w:eastAsia="仿宋" w:cs="Times New Roman"/>
          <w:sz w:val="32"/>
          <w:szCs w:val="30"/>
        </w:rPr>
        <w:t>2023年度“三公”经费财政拨款支出预算为4.8万元，支出决算为4.8万元，完成预算的100%。</w:t>
      </w:r>
    </w:p>
    <w:p w14:paraId="3B79C7B5">
      <w:pPr>
        <w:ind w:firstLine="640" w:firstLineChars="0"/>
        <w:rPr>
          <w:rFonts w:ascii="楷体" w:hAnsi="楷体" w:eastAsia="楷体" w:cs="Times New Roman"/>
          <w:b/>
          <w:bCs/>
          <w:sz w:val="32"/>
          <w:szCs w:val="20"/>
        </w:rPr>
      </w:pPr>
      <w:r>
        <w:rPr>
          <w:rFonts w:hint="eastAsia" w:ascii="楷体" w:hAnsi="楷体" w:eastAsia="楷体" w:cs="Times New Roman"/>
          <w:b/>
          <w:bCs/>
          <w:sz w:val="32"/>
          <w:szCs w:val="20"/>
        </w:rPr>
        <w:t>（二）“三公”经费财政拨款支出决算具体情况说明</w:t>
      </w:r>
    </w:p>
    <w:p w14:paraId="5C792E04">
      <w:pPr>
        <w:ind w:firstLine="640"/>
        <w:rPr>
          <w:rFonts w:ascii="仿宋" w:hAnsi="仿宋" w:eastAsia="仿宋" w:cs="Times New Roman"/>
          <w:sz w:val="32"/>
          <w:szCs w:val="30"/>
        </w:rPr>
      </w:pPr>
      <w:r>
        <w:rPr>
          <w:rFonts w:hint="eastAsia" w:ascii="仿宋" w:hAnsi="仿宋" w:eastAsia="仿宋" w:cs="Times New Roman"/>
          <w:sz w:val="32"/>
          <w:szCs w:val="30"/>
        </w:rPr>
        <w:t>1.因公出国（境）费预算为 0 万元,支出决算为 0 万元，完成预算的  0.0 %。主要原因：我单位没有因公出国工作安排，年初无相关预算，无此项支出。全年安排因公出国（境）团组 0 个，累计 0 人次。</w:t>
      </w:r>
    </w:p>
    <w:p w14:paraId="19031489">
      <w:pPr>
        <w:ind w:firstLine="640"/>
        <w:rPr>
          <w:rFonts w:ascii="仿宋" w:hAnsi="仿宋" w:eastAsia="仿宋" w:cs="Times New Roman"/>
          <w:sz w:val="32"/>
          <w:szCs w:val="30"/>
        </w:rPr>
      </w:pPr>
      <w:r>
        <w:rPr>
          <w:rFonts w:hint="eastAsia" w:ascii="仿宋" w:hAnsi="仿宋" w:eastAsia="仿宋" w:cs="Times New Roman"/>
          <w:sz w:val="32"/>
          <w:szCs w:val="30"/>
        </w:rPr>
        <w:t>2.公务用车购置及运行费预算为4.8万元，支出决算为4.8万元，完成预算的100%；较2022年度增加（减少）0万元，增长（下降）0%。其中：</w:t>
      </w:r>
    </w:p>
    <w:p w14:paraId="4BA3AF0D">
      <w:pPr>
        <w:ind w:firstLine="640"/>
        <w:rPr>
          <w:rFonts w:ascii="仿宋" w:hAnsi="仿宋" w:eastAsia="仿宋" w:cs="Times New Roman"/>
          <w:sz w:val="32"/>
          <w:szCs w:val="30"/>
        </w:rPr>
      </w:pPr>
      <w:r>
        <w:rPr>
          <w:rFonts w:hint="eastAsia" w:ascii="仿宋" w:hAnsi="仿宋" w:eastAsia="仿宋" w:cs="Times New Roman"/>
          <w:sz w:val="32"/>
          <w:szCs w:val="30"/>
        </w:rPr>
        <w:t>公务用车购置费支出万0元。主要是没有购置新车；截至2023年12月31日，公务用车保有量为2辆,公务用车购置数为0辆。</w:t>
      </w:r>
    </w:p>
    <w:p w14:paraId="1310AABB">
      <w:pPr>
        <w:ind w:firstLine="640"/>
        <w:rPr>
          <w:rFonts w:ascii="仿宋" w:hAnsi="仿宋" w:eastAsia="仿宋" w:cs="Times New Roman"/>
          <w:sz w:val="32"/>
          <w:szCs w:val="30"/>
        </w:rPr>
      </w:pPr>
      <w:r>
        <w:rPr>
          <w:rFonts w:hint="eastAsia" w:ascii="仿宋" w:hAnsi="仿宋" w:eastAsia="仿宋" w:cs="Times New Roman"/>
          <w:sz w:val="32"/>
          <w:szCs w:val="30"/>
        </w:rPr>
        <w:t xml:space="preserve">公务用车运行维护费支出4.8万元，主要是公车保险、加油、维修。 </w:t>
      </w:r>
    </w:p>
    <w:p w14:paraId="38115017">
      <w:pPr>
        <w:ind w:firstLine="640"/>
        <w:rPr>
          <w:rFonts w:ascii="仿宋" w:hAnsi="仿宋" w:eastAsia="仿宋" w:cs="Times New Roman"/>
          <w:sz w:val="32"/>
          <w:szCs w:val="30"/>
        </w:rPr>
      </w:pPr>
      <w:r>
        <w:rPr>
          <w:rFonts w:hint="eastAsia" w:ascii="仿宋" w:hAnsi="仿宋" w:eastAsia="仿宋" w:cs="Times New Roman"/>
          <w:sz w:val="32"/>
          <w:szCs w:val="30"/>
        </w:rPr>
        <w:t>外事接待费支出0万元。全年共接待外事来访团组数0个、来访外宾0人次（不包括陪同人员）。</w:t>
      </w:r>
    </w:p>
    <w:p w14:paraId="402034D0">
      <w:pPr>
        <w:ind w:firstLine="640"/>
        <w:rPr>
          <w:rFonts w:ascii="仿宋" w:hAnsi="仿宋" w:eastAsia="仿宋" w:cs="Times New Roman"/>
          <w:sz w:val="32"/>
          <w:szCs w:val="30"/>
        </w:rPr>
      </w:pPr>
      <w:r>
        <w:rPr>
          <w:rFonts w:hint="eastAsia" w:ascii="仿宋" w:hAnsi="仿宋" w:eastAsia="仿宋" w:cs="Times New Roman"/>
          <w:sz w:val="32"/>
          <w:szCs w:val="30"/>
        </w:rPr>
        <w:t>其他国内公务接待支出0万元。全年共接待国内来访团组0个、来宾0人次（不包括陪同人员）。</w:t>
      </w:r>
    </w:p>
    <w:p w14:paraId="35A6494A">
      <w:pPr>
        <w:ind w:firstLine="640"/>
        <w:rPr>
          <w:rFonts w:ascii="黑体" w:hAnsi="黑体" w:eastAsia="黑体" w:cs="Times New Roman"/>
          <w:sz w:val="32"/>
          <w:szCs w:val="30"/>
        </w:rPr>
      </w:pPr>
      <w:r>
        <w:rPr>
          <w:rFonts w:hint="eastAsia" w:ascii="黑体" w:hAnsi="黑体" w:eastAsia="黑体" w:cs="Times New Roman"/>
          <w:sz w:val="32"/>
          <w:szCs w:val="30"/>
        </w:rPr>
        <w:t>十、关于2023年度绩效评价情况说明</w:t>
      </w:r>
    </w:p>
    <w:p w14:paraId="45FD321B">
      <w:pPr>
        <w:ind w:firstLine="643"/>
        <w:rPr>
          <w:rFonts w:ascii="仿宋" w:hAnsi="仿宋" w:eastAsia="仿宋" w:cs="Times New Roman"/>
          <w:sz w:val="32"/>
          <w:szCs w:val="30"/>
        </w:rPr>
      </w:pPr>
      <w:r>
        <w:rPr>
          <w:rFonts w:hint="eastAsia" w:ascii="楷体" w:hAnsi="楷体" w:eastAsia="楷体" w:cs="Times New Roman"/>
          <w:b/>
          <w:bCs/>
          <w:sz w:val="32"/>
          <w:szCs w:val="20"/>
        </w:rPr>
        <w:t>绩效评价工作开展情况。</w:t>
      </w:r>
      <w:r>
        <w:rPr>
          <w:rFonts w:hint="eastAsia" w:ascii="仿宋" w:hAnsi="仿宋" w:eastAsia="仿宋" w:cs="Times New Roman"/>
          <w:sz w:val="32"/>
          <w:szCs w:val="30"/>
        </w:rPr>
        <w:t>绩效评价工作开展情况说明为：根据预算绩效管理要求，本部门组织对2023 年度一般公共预算项目支出全面开展绩效自评，其中，一级项目7个，二级项目36个，共涉及资金1330.83万元，占一般公共预算项目支出总额的48.73%。绩效自评率为100%</w:t>
      </w:r>
    </w:p>
    <w:p w14:paraId="63040991">
      <w:pPr>
        <w:ind w:firstLine="640"/>
        <w:rPr>
          <w:rFonts w:ascii="黑体" w:hAnsi="黑体" w:eastAsia="黑体" w:cs="Times New Roman"/>
          <w:sz w:val="32"/>
          <w:szCs w:val="30"/>
        </w:rPr>
      </w:pPr>
      <w:r>
        <w:rPr>
          <w:rFonts w:hint="eastAsia" w:ascii="黑体" w:hAnsi="黑体" w:eastAsia="黑体" w:cs="Times New Roman"/>
          <w:sz w:val="32"/>
          <w:szCs w:val="30"/>
        </w:rPr>
        <w:t>十一、其他重要事项情况说明</w:t>
      </w:r>
    </w:p>
    <w:p w14:paraId="24CCA416">
      <w:pPr>
        <w:ind w:firstLine="643"/>
        <w:rPr>
          <w:rFonts w:ascii="楷体" w:hAnsi="楷体" w:eastAsia="楷体" w:cs="Times New Roman"/>
          <w:b/>
          <w:bCs/>
          <w:sz w:val="32"/>
          <w:szCs w:val="20"/>
        </w:rPr>
      </w:pPr>
      <w:r>
        <w:rPr>
          <w:rFonts w:hint="eastAsia" w:ascii="楷体" w:hAnsi="楷体" w:eastAsia="楷体" w:cs="Times New Roman"/>
          <w:b/>
          <w:bCs/>
          <w:sz w:val="32"/>
          <w:szCs w:val="20"/>
        </w:rPr>
        <w:t>（一）机关运行经费执行情况说明</w:t>
      </w:r>
    </w:p>
    <w:p w14:paraId="7BAD94C9">
      <w:pPr>
        <w:ind w:firstLine="640"/>
        <w:rPr>
          <w:rFonts w:ascii="仿宋" w:hAnsi="仿宋" w:eastAsia="仿宋" w:cs="Times New Roman"/>
          <w:sz w:val="32"/>
          <w:szCs w:val="30"/>
        </w:rPr>
      </w:pPr>
      <w:r>
        <w:rPr>
          <w:rFonts w:hint="eastAsia" w:ascii="仿宋" w:hAnsi="仿宋" w:eastAsia="仿宋" w:cs="Times New Roman"/>
          <w:sz w:val="32"/>
          <w:szCs w:val="30"/>
        </w:rPr>
        <w:t>2023年度机关运行经费支出250.61万元，较2022年度增加19.21万元，增长8.3%。</w:t>
      </w:r>
    </w:p>
    <w:p w14:paraId="72DCD487">
      <w:pPr>
        <w:ind w:firstLine="643"/>
        <w:rPr>
          <w:rFonts w:ascii="楷体" w:hAnsi="楷体" w:eastAsia="楷体" w:cs="Times New Roman"/>
          <w:b/>
          <w:bCs/>
          <w:sz w:val="32"/>
          <w:szCs w:val="20"/>
        </w:rPr>
      </w:pPr>
      <w:r>
        <w:rPr>
          <w:rFonts w:hint="eastAsia" w:ascii="楷体" w:hAnsi="楷体" w:eastAsia="楷体" w:cs="Times New Roman"/>
          <w:b/>
          <w:bCs/>
          <w:sz w:val="32"/>
          <w:szCs w:val="20"/>
        </w:rPr>
        <w:t>（二）政府采购支出情况说明</w:t>
      </w:r>
    </w:p>
    <w:p w14:paraId="5381C08B">
      <w:pPr>
        <w:ind w:firstLine="640"/>
        <w:rPr>
          <w:rFonts w:ascii="仿宋" w:hAnsi="仿宋" w:eastAsia="仿宋" w:cs="Times New Roman"/>
          <w:sz w:val="32"/>
          <w:szCs w:val="30"/>
        </w:rPr>
      </w:pPr>
      <w:r>
        <w:rPr>
          <w:rFonts w:hint="eastAsia" w:ascii="仿宋" w:hAnsi="仿宋" w:eastAsia="仿宋" w:cs="Times New Roman"/>
          <w:sz w:val="32"/>
          <w:szCs w:val="30"/>
        </w:rPr>
        <w:t>2023 年度政府采购支出总额9.761万元，其中：政府采购货物支出9.761万元、政府采购工程支出0万元、政府采购服务支出0万元。授予中小企业合同金额0万元，占政府采购支出总额的0%，其中：授予小微企业合同金额0万元，占授予中小企业合同金额的0%；货物采购授予中小企业合同金额占货物支出金额的0%，工程采购授予中小企业合同金额占工程支出金额的0%，服务采购授予中小企业合同金额占服务支出金额的0%。。</w:t>
      </w:r>
    </w:p>
    <w:p w14:paraId="1D0B7B36">
      <w:pPr>
        <w:ind w:firstLine="643"/>
        <w:rPr>
          <w:rFonts w:ascii="楷体" w:hAnsi="楷体" w:eastAsia="楷体" w:cs="Times New Roman"/>
          <w:b/>
          <w:bCs/>
          <w:sz w:val="32"/>
          <w:szCs w:val="20"/>
        </w:rPr>
      </w:pPr>
      <w:r>
        <w:rPr>
          <w:rFonts w:hint="eastAsia" w:ascii="楷体" w:hAnsi="楷体" w:eastAsia="楷体" w:cs="Times New Roman"/>
          <w:b/>
          <w:bCs/>
          <w:sz w:val="32"/>
          <w:szCs w:val="20"/>
        </w:rPr>
        <w:t>（三）国有资产占用情况说明</w:t>
      </w:r>
    </w:p>
    <w:p w14:paraId="2BCC09C7">
      <w:pPr>
        <w:ind w:firstLine="640"/>
        <w:rPr>
          <w:rFonts w:ascii="仿宋" w:hAnsi="仿宋" w:eastAsia="仿宋" w:cs="Times New Roman"/>
          <w:sz w:val="32"/>
          <w:szCs w:val="30"/>
        </w:rPr>
      </w:pPr>
      <w:r>
        <w:rPr>
          <w:rFonts w:hint="eastAsia" w:ascii="仿宋" w:hAnsi="仿宋" w:eastAsia="仿宋" w:cs="Times New Roman"/>
          <w:sz w:val="32"/>
          <w:szCs w:val="30"/>
        </w:rPr>
        <w:t>截至2023年12 月31日，长春市南关区长通街道办事处共有车辆2辆，其中，副部（省）级及以上领导用车0辆、主要负责人用车0辆、机要通信用车1辆、应急保障用车0辆、执法执勤用车0辆、特种专业技术用车0辆、离退休干部用车0辆、其他用车1辆；单位价值100万元（含）以上设备（不含车辆）0台（套）。</w:t>
      </w:r>
    </w:p>
    <w:p w14:paraId="663BBBDA">
      <w:pPr>
        <w:ind w:firstLine="0" w:firstLineChars="0"/>
        <w:jc w:val="center"/>
        <w:rPr>
          <w:rFonts w:hint="eastAsia" w:ascii="方正小标宋简体" w:hAnsi="方正小标宋简体" w:eastAsia="方正小标宋简体" w:cs="Times New Roman"/>
          <w:sz w:val="44"/>
          <w:szCs w:val="20"/>
        </w:rPr>
      </w:pPr>
    </w:p>
    <w:p w14:paraId="537FFFB8">
      <w:pPr>
        <w:ind w:firstLine="0" w:firstLineChars="0"/>
        <w:jc w:val="center"/>
        <w:rPr>
          <w:rFonts w:ascii="方正小标宋简体" w:hAnsi="方正小标宋简体" w:eastAsia="方正小标宋简体" w:cs="Times New Roman"/>
          <w:sz w:val="44"/>
          <w:szCs w:val="20"/>
        </w:rPr>
      </w:pPr>
      <w:bookmarkStart w:id="0" w:name="_GoBack"/>
      <w:r>
        <w:rPr>
          <w:rFonts w:hint="eastAsia" w:ascii="方正小标宋简体" w:hAnsi="方正小标宋简体" w:eastAsia="方正小标宋简体" w:cs="Times New Roman"/>
          <w:sz w:val="44"/>
          <w:szCs w:val="20"/>
        </w:rPr>
        <w:t>第四部分名词解释</w:t>
      </w:r>
    </w:p>
    <w:bookmarkEnd w:id="0"/>
    <w:p w14:paraId="179E3ECC">
      <w:pPr>
        <w:ind w:firstLine="0" w:firstLineChars="0"/>
        <w:jc w:val="center"/>
        <w:rPr>
          <w:rFonts w:ascii="仿宋" w:hAnsi="仿宋" w:eastAsia="仿宋" w:cs="Times New Roman"/>
          <w:sz w:val="32"/>
          <w:szCs w:val="30"/>
        </w:rPr>
      </w:pPr>
    </w:p>
    <w:p w14:paraId="105589C0">
      <w:pPr>
        <w:ind w:firstLine="643"/>
        <w:rPr>
          <w:rFonts w:ascii="仿宋" w:hAnsi="仿宋" w:eastAsia="仿宋" w:cs="Times New Roman"/>
          <w:sz w:val="32"/>
          <w:szCs w:val="30"/>
        </w:rPr>
      </w:pPr>
      <w:r>
        <w:rPr>
          <w:rFonts w:hint="eastAsia" w:ascii="楷体" w:hAnsi="楷体" w:eastAsia="楷体" w:cs="Times New Roman"/>
          <w:b/>
          <w:bCs/>
          <w:sz w:val="32"/>
          <w:szCs w:val="20"/>
        </w:rPr>
        <w:t>一、财政拨款收入：</w:t>
      </w:r>
      <w:r>
        <w:rPr>
          <w:rFonts w:hint="eastAsia" w:ascii="仿宋" w:hAnsi="仿宋" w:eastAsia="仿宋" w:cs="Times New Roman"/>
          <w:sz w:val="32"/>
          <w:szCs w:val="30"/>
        </w:rPr>
        <w:t>指单位从同级财政部门取得的财政预算资金。</w:t>
      </w:r>
    </w:p>
    <w:p w14:paraId="6AA0BAA7">
      <w:pPr>
        <w:ind w:firstLine="643"/>
        <w:rPr>
          <w:rFonts w:ascii="仿宋" w:hAnsi="仿宋" w:eastAsia="仿宋" w:cs="Times New Roman"/>
          <w:sz w:val="32"/>
          <w:szCs w:val="30"/>
        </w:rPr>
      </w:pPr>
      <w:r>
        <w:rPr>
          <w:rFonts w:hint="eastAsia" w:ascii="楷体" w:hAnsi="楷体" w:eastAsia="楷体" w:cs="Times New Roman"/>
          <w:b/>
          <w:bCs/>
          <w:sz w:val="32"/>
          <w:szCs w:val="20"/>
        </w:rPr>
        <w:t>二、上级补助收入：</w:t>
      </w:r>
      <w:r>
        <w:rPr>
          <w:rFonts w:hint="eastAsia" w:ascii="仿宋" w:hAnsi="仿宋" w:eastAsia="仿宋" w:cs="Times New Roman"/>
          <w:sz w:val="32"/>
          <w:szCs w:val="30"/>
        </w:rPr>
        <w:t>指从主管部门和上级单位取得的非财政补助收入。</w:t>
      </w:r>
    </w:p>
    <w:p w14:paraId="77E19018">
      <w:pPr>
        <w:ind w:firstLine="643"/>
        <w:rPr>
          <w:rFonts w:ascii="仿宋" w:hAnsi="仿宋" w:eastAsia="仿宋" w:cs="Times New Roman"/>
          <w:sz w:val="32"/>
          <w:szCs w:val="30"/>
        </w:rPr>
      </w:pPr>
      <w:r>
        <w:rPr>
          <w:rFonts w:hint="eastAsia" w:ascii="楷体" w:hAnsi="楷体" w:eastAsia="楷体" w:cs="Times New Roman"/>
          <w:b/>
          <w:bCs/>
          <w:sz w:val="32"/>
          <w:szCs w:val="20"/>
        </w:rPr>
        <w:t>三、事业收入：</w:t>
      </w:r>
      <w:r>
        <w:rPr>
          <w:rFonts w:hint="eastAsia" w:ascii="仿宋" w:hAnsi="仿宋" w:eastAsia="仿宋" w:cs="Times New Roman"/>
          <w:sz w:val="32"/>
          <w:szCs w:val="30"/>
        </w:rPr>
        <w:t>指事业单位开展专业业务活动及辅助活动取得的收入。</w:t>
      </w:r>
    </w:p>
    <w:p w14:paraId="39DC5226">
      <w:pPr>
        <w:ind w:firstLine="643"/>
        <w:rPr>
          <w:rFonts w:ascii="仿宋" w:hAnsi="仿宋" w:eastAsia="仿宋" w:cs="Times New Roman"/>
          <w:sz w:val="32"/>
          <w:szCs w:val="30"/>
        </w:rPr>
      </w:pPr>
      <w:r>
        <w:rPr>
          <w:rFonts w:hint="eastAsia" w:ascii="楷体" w:hAnsi="楷体" w:eastAsia="楷体" w:cs="Times New Roman"/>
          <w:b/>
          <w:bCs/>
          <w:sz w:val="32"/>
          <w:szCs w:val="20"/>
        </w:rPr>
        <w:t>四、经营收入：</w:t>
      </w:r>
      <w:r>
        <w:rPr>
          <w:rFonts w:hint="eastAsia" w:ascii="仿宋" w:hAnsi="仿宋" w:eastAsia="仿宋" w:cs="Times New Roman"/>
          <w:sz w:val="32"/>
          <w:szCs w:val="30"/>
        </w:rPr>
        <w:t>指事业单位在专业业务活动及其辅助活动之外开展非独立核算经营活动取得的收入。</w:t>
      </w:r>
    </w:p>
    <w:p w14:paraId="6710C518">
      <w:pPr>
        <w:ind w:firstLine="643"/>
        <w:rPr>
          <w:rFonts w:ascii="仿宋" w:hAnsi="仿宋" w:eastAsia="仿宋" w:cs="Times New Roman"/>
          <w:sz w:val="32"/>
          <w:szCs w:val="30"/>
        </w:rPr>
      </w:pPr>
      <w:r>
        <w:rPr>
          <w:rFonts w:hint="eastAsia" w:ascii="楷体" w:hAnsi="楷体" w:eastAsia="楷体" w:cs="Times New Roman"/>
          <w:b/>
          <w:bCs/>
          <w:sz w:val="32"/>
          <w:szCs w:val="20"/>
        </w:rPr>
        <w:t>五、附属单位上缴收入：</w:t>
      </w:r>
      <w:r>
        <w:rPr>
          <w:rFonts w:hint="eastAsia" w:ascii="仿宋" w:hAnsi="仿宋" w:eastAsia="仿宋" w:cs="Times New Roman"/>
          <w:sz w:val="32"/>
          <w:szCs w:val="30"/>
        </w:rPr>
        <w:t>指事业单位附属独立核算单位按照有关规定上缴的收入。</w:t>
      </w:r>
    </w:p>
    <w:p w14:paraId="020118F8">
      <w:pPr>
        <w:ind w:firstLine="643"/>
        <w:rPr>
          <w:rFonts w:ascii="仿宋" w:hAnsi="仿宋" w:eastAsia="仿宋" w:cs="Times New Roman"/>
          <w:sz w:val="32"/>
          <w:szCs w:val="30"/>
        </w:rPr>
      </w:pPr>
      <w:r>
        <w:rPr>
          <w:rFonts w:hint="eastAsia" w:ascii="楷体" w:hAnsi="楷体" w:eastAsia="楷体" w:cs="Times New Roman"/>
          <w:b/>
          <w:bCs/>
          <w:sz w:val="32"/>
          <w:szCs w:val="20"/>
        </w:rPr>
        <w:t>六、其他收入：</w:t>
      </w:r>
      <w:r>
        <w:rPr>
          <w:rFonts w:hint="eastAsia" w:ascii="仿宋" w:hAnsi="仿宋" w:eastAsia="仿宋" w:cs="Times New Roman"/>
          <w:sz w:val="32"/>
          <w:szCs w:val="30"/>
        </w:rPr>
        <w:t>指除上述收入以外的各项收入。包括未纳入财政预算或财政专户管理的投资收益、银行存款利息收入、租金收入、捐赠收入，现金盘盈收入、存货盘盈收入、收回已核销应收及预付款项、无法偿付的应付及预收款项，从省财政以外的同级单位取得的经费、从非省财政取得的经费，以及行政单位收到的财政专户管理资金等。</w:t>
      </w:r>
    </w:p>
    <w:p w14:paraId="2ECDAA69">
      <w:pPr>
        <w:ind w:firstLine="643"/>
        <w:rPr>
          <w:rFonts w:ascii="仿宋" w:hAnsi="仿宋" w:eastAsia="仿宋" w:cs="Times New Roman"/>
          <w:sz w:val="32"/>
          <w:szCs w:val="30"/>
        </w:rPr>
      </w:pPr>
      <w:r>
        <w:rPr>
          <w:rFonts w:hint="eastAsia" w:ascii="楷体" w:hAnsi="楷体" w:eastAsia="楷体" w:cs="Times New Roman"/>
          <w:b/>
          <w:bCs/>
          <w:sz w:val="32"/>
          <w:szCs w:val="20"/>
        </w:rPr>
        <w:t>七、使用非财政拨款结余（含专用结余）：</w:t>
      </w:r>
      <w:r>
        <w:rPr>
          <w:rFonts w:hint="eastAsia" w:ascii="仿宋" w:hAnsi="仿宋" w:eastAsia="仿宋" w:cs="Times New Roman"/>
          <w:sz w:val="32"/>
          <w:szCs w:val="30"/>
        </w:rPr>
        <w:t>指事业单位按照预算管理要求使用非财政拨款结余弥补收支差额的金额，以及使用专用结余安排支出的金额。</w:t>
      </w:r>
    </w:p>
    <w:p w14:paraId="17974202">
      <w:pPr>
        <w:ind w:firstLine="643"/>
        <w:rPr>
          <w:rFonts w:ascii="仿宋" w:hAnsi="仿宋" w:eastAsia="仿宋" w:cs="Times New Roman"/>
          <w:sz w:val="32"/>
          <w:szCs w:val="30"/>
        </w:rPr>
      </w:pPr>
      <w:r>
        <w:rPr>
          <w:rFonts w:hint="eastAsia" w:ascii="楷体" w:hAnsi="楷体" w:eastAsia="楷体" w:cs="Times New Roman"/>
          <w:b/>
          <w:bCs/>
          <w:sz w:val="32"/>
          <w:szCs w:val="20"/>
        </w:rPr>
        <w:t>八、年初结转和结余：</w:t>
      </w:r>
      <w:r>
        <w:rPr>
          <w:rFonts w:hint="eastAsia" w:ascii="仿宋" w:hAnsi="仿宋" w:eastAsia="仿宋" w:cs="Times New Roman"/>
          <w:sz w:val="32"/>
          <w:szCs w:val="30"/>
        </w:rPr>
        <w:t>指单位以前年度尚未完成、结转到本年按有关规定用途继续使用的资金，或项目已完成等产生的结余资金。</w:t>
      </w:r>
    </w:p>
    <w:p w14:paraId="12BD7F91">
      <w:pPr>
        <w:ind w:firstLine="643"/>
        <w:rPr>
          <w:rFonts w:ascii="仿宋" w:hAnsi="仿宋" w:eastAsia="仿宋" w:cs="Times New Roman"/>
          <w:sz w:val="32"/>
          <w:szCs w:val="30"/>
        </w:rPr>
      </w:pPr>
      <w:r>
        <w:rPr>
          <w:rFonts w:hint="eastAsia" w:ascii="楷体" w:hAnsi="楷体" w:eastAsia="楷体" w:cs="Times New Roman"/>
          <w:b/>
          <w:bCs/>
          <w:sz w:val="32"/>
          <w:szCs w:val="20"/>
        </w:rPr>
        <w:t>九、结余分配：</w:t>
      </w:r>
      <w:r>
        <w:rPr>
          <w:rFonts w:hint="eastAsia" w:ascii="仿宋" w:hAnsi="仿宋" w:eastAsia="仿宋" w:cs="Times New Roman"/>
          <w:sz w:val="32"/>
          <w:szCs w:val="30"/>
        </w:rPr>
        <w:t>指事业单位按照会计制度规定缴纳的所得税、提取的专用结余以及转入非财政拨款结余的金额等。</w:t>
      </w:r>
    </w:p>
    <w:p w14:paraId="70B9ABB8">
      <w:pPr>
        <w:ind w:firstLine="643"/>
        <w:rPr>
          <w:rFonts w:ascii="仿宋" w:hAnsi="仿宋" w:eastAsia="仿宋" w:cs="Times New Roman"/>
          <w:sz w:val="32"/>
          <w:szCs w:val="30"/>
        </w:rPr>
      </w:pPr>
      <w:r>
        <w:rPr>
          <w:rFonts w:hint="eastAsia" w:ascii="楷体" w:hAnsi="楷体" w:eastAsia="楷体" w:cs="Times New Roman"/>
          <w:b/>
          <w:bCs/>
          <w:sz w:val="32"/>
          <w:szCs w:val="20"/>
        </w:rPr>
        <w:t>十、年末结转和结余：</w:t>
      </w:r>
      <w:r>
        <w:rPr>
          <w:rFonts w:hint="eastAsia" w:ascii="仿宋" w:hAnsi="仿宋" w:eastAsia="仿宋" w:cs="Times New Roman"/>
          <w:sz w:val="32"/>
          <w:szCs w:val="30"/>
        </w:rPr>
        <w:t>指单位按有关规定结转到下年或以后年度继续使用的资金，或项目已完成等产生的结余资金。</w:t>
      </w:r>
    </w:p>
    <w:p w14:paraId="4D1E52DE">
      <w:pPr>
        <w:ind w:firstLine="643"/>
        <w:rPr>
          <w:rFonts w:ascii="仿宋" w:hAnsi="仿宋" w:eastAsia="仿宋" w:cs="Times New Roman"/>
          <w:sz w:val="32"/>
          <w:szCs w:val="30"/>
        </w:rPr>
      </w:pPr>
      <w:r>
        <w:rPr>
          <w:rFonts w:hint="eastAsia" w:ascii="楷体" w:hAnsi="楷体" w:eastAsia="楷体" w:cs="Times New Roman"/>
          <w:b/>
          <w:bCs/>
          <w:sz w:val="32"/>
          <w:szCs w:val="20"/>
        </w:rPr>
        <w:t>十一、基本支出：</w:t>
      </w:r>
      <w:r>
        <w:rPr>
          <w:rFonts w:hint="eastAsia" w:ascii="仿宋" w:hAnsi="仿宋" w:eastAsia="仿宋" w:cs="Times New Roman"/>
          <w:sz w:val="32"/>
          <w:szCs w:val="30"/>
        </w:rPr>
        <w:t>指为保障机构正常运转、完成日常工作任务而发生的人员支出和公用支出。</w:t>
      </w:r>
    </w:p>
    <w:p w14:paraId="10903E89">
      <w:pPr>
        <w:ind w:firstLine="643"/>
        <w:rPr>
          <w:rFonts w:ascii="仿宋" w:hAnsi="仿宋" w:eastAsia="仿宋" w:cs="Times New Roman"/>
          <w:sz w:val="32"/>
          <w:szCs w:val="30"/>
        </w:rPr>
      </w:pPr>
      <w:r>
        <w:rPr>
          <w:rFonts w:hint="eastAsia" w:ascii="楷体" w:hAnsi="楷体" w:eastAsia="楷体" w:cs="Times New Roman"/>
          <w:b/>
          <w:bCs/>
          <w:sz w:val="32"/>
          <w:szCs w:val="20"/>
        </w:rPr>
        <w:t>十二、项目支出：</w:t>
      </w:r>
      <w:r>
        <w:rPr>
          <w:rFonts w:hint="eastAsia" w:ascii="仿宋" w:hAnsi="仿宋" w:eastAsia="仿宋" w:cs="Times New Roman"/>
          <w:sz w:val="32"/>
          <w:szCs w:val="30"/>
        </w:rPr>
        <w:t>指在基本支出之外为完成特定行政任务或事业发展目标所发生的支出。</w:t>
      </w:r>
    </w:p>
    <w:p w14:paraId="1C1C8832">
      <w:pPr>
        <w:ind w:firstLine="643"/>
        <w:rPr>
          <w:rFonts w:ascii="仿宋" w:hAnsi="仿宋" w:eastAsia="仿宋" w:cs="Times New Roman"/>
          <w:sz w:val="32"/>
          <w:szCs w:val="30"/>
        </w:rPr>
      </w:pPr>
      <w:r>
        <w:rPr>
          <w:rFonts w:hint="eastAsia" w:ascii="楷体" w:hAnsi="楷体" w:eastAsia="楷体" w:cs="Times New Roman"/>
          <w:b/>
          <w:bCs/>
          <w:sz w:val="32"/>
          <w:szCs w:val="20"/>
        </w:rPr>
        <w:t>十三、经营支出：</w:t>
      </w:r>
      <w:r>
        <w:rPr>
          <w:rFonts w:hint="eastAsia" w:ascii="仿宋" w:hAnsi="仿宋" w:eastAsia="仿宋" w:cs="Times New Roman"/>
          <w:sz w:val="32"/>
          <w:szCs w:val="30"/>
        </w:rPr>
        <w:t>指事业单位在专业业务活动及其辅助活动之外开展非独立核算经营活动发生的支出。</w:t>
      </w:r>
    </w:p>
    <w:p w14:paraId="2456D4BE">
      <w:pPr>
        <w:ind w:firstLine="643"/>
        <w:rPr>
          <w:rFonts w:ascii="仿宋" w:hAnsi="仿宋" w:eastAsia="仿宋" w:cs="Times New Roman"/>
          <w:sz w:val="32"/>
          <w:szCs w:val="30"/>
        </w:rPr>
      </w:pPr>
      <w:r>
        <w:rPr>
          <w:rFonts w:hint="eastAsia" w:ascii="楷体" w:hAnsi="楷体" w:eastAsia="楷体" w:cs="Times New Roman"/>
          <w:b/>
          <w:bCs/>
          <w:sz w:val="32"/>
          <w:szCs w:val="20"/>
        </w:rPr>
        <w:t>十四、上缴上级支出：</w:t>
      </w:r>
      <w:r>
        <w:rPr>
          <w:rFonts w:hint="eastAsia" w:ascii="仿宋" w:hAnsi="仿宋" w:eastAsia="仿宋" w:cs="Times New Roman"/>
          <w:sz w:val="32"/>
          <w:szCs w:val="30"/>
        </w:rPr>
        <w:t>指事业单位按照有关规定上缴上级单位的支出。</w:t>
      </w:r>
    </w:p>
    <w:p w14:paraId="4CFB7D56">
      <w:pPr>
        <w:ind w:firstLine="643"/>
        <w:rPr>
          <w:rFonts w:ascii="仿宋" w:hAnsi="仿宋" w:eastAsia="仿宋" w:cs="Times New Roman"/>
          <w:sz w:val="32"/>
          <w:szCs w:val="30"/>
        </w:rPr>
      </w:pPr>
      <w:r>
        <w:rPr>
          <w:rFonts w:hint="eastAsia" w:ascii="楷体" w:hAnsi="楷体" w:eastAsia="楷体" w:cs="Times New Roman"/>
          <w:b/>
          <w:bCs/>
          <w:sz w:val="32"/>
          <w:szCs w:val="20"/>
        </w:rPr>
        <w:t>十五、对附属单位补助支出：</w:t>
      </w:r>
      <w:r>
        <w:rPr>
          <w:rFonts w:hint="eastAsia" w:ascii="仿宋" w:hAnsi="仿宋" w:eastAsia="仿宋" w:cs="Times New Roman"/>
          <w:sz w:val="32"/>
          <w:szCs w:val="30"/>
        </w:rPr>
        <w:t>指事业单位用财政补助收入之外的收入对附属单位补助发生的支出。</w:t>
      </w:r>
    </w:p>
    <w:p w14:paraId="53C1D7FA">
      <w:pPr>
        <w:ind w:firstLine="643"/>
        <w:rPr>
          <w:rFonts w:ascii="仿宋" w:hAnsi="仿宋" w:eastAsia="仿宋" w:cs="Times New Roman"/>
          <w:sz w:val="32"/>
          <w:szCs w:val="30"/>
        </w:rPr>
      </w:pPr>
      <w:r>
        <w:rPr>
          <w:rFonts w:hint="eastAsia" w:ascii="楷体" w:hAnsi="楷体" w:eastAsia="楷体" w:cs="Times New Roman"/>
          <w:b/>
          <w:bCs/>
          <w:sz w:val="32"/>
          <w:szCs w:val="20"/>
        </w:rPr>
        <w:t>十六、“三公”经费：</w:t>
      </w:r>
      <w:r>
        <w:rPr>
          <w:rFonts w:hint="eastAsia" w:ascii="仿宋" w:hAnsi="仿宋" w:eastAsia="仿宋" w:cs="Times New Roman"/>
          <w:sz w:val="32"/>
          <w:szCs w:val="30"/>
        </w:rPr>
        <w:t>纳入省级财政预决算管理的“三公”经费，是指省级部门用财政拨款安排的因公出国（境）费、公务用车购置及运行维护费和公务接待费。是党政机关维持运转或完成特定工作任务所开支的相关支出，是政府行政开支的一部分。其中，因公出国（境）费反映公务出国（境）的国际旅费、国外城市间交通费、住宿费、伙食费、培训费、公杂费等支出；公务用车购置及运行费反映单位公务用车车辆购置支出（含车辆购置税）及燃料费、维修费、过桥过路费、保险费、安全奖励费等支出；公务接待费反映单位按规定开支的各类公务接待（含外宾接待）支出。</w:t>
      </w:r>
    </w:p>
    <w:p w14:paraId="704E96FA">
      <w:pPr>
        <w:ind w:firstLine="643"/>
        <w:rPr>
          <w:rFonts w:ascii="仿宋" w:hAnsi="仿宋" w:eastAsia="仿宋" w:cs="Times New Roman"/>
          <w:sz w:val="32"/>
          <w:szCs w:val="30"/>
        </w:rPr>
      </w:pPr>
      <w:r>
        <w:rPr>
          <w:rFonts w:hint="eastAsia" w:ascii="楷体" w:hAnsi="楷体" w:eastAsia="楷体" w:cs="Times New Roman"/>
          <w:b/>
          <w:bCs/>
          <w:sz w:val="32"/>
          <w:szCs w:val="20"/>
        </w:rPr>
        <w:t>十七、机关运行经费：</w:t>
      </w:r>
      <w:r>
        <w:rPr>
          <w:rFonts w:hint="eastAsia" w:ascii="仿宋" w:hAnsi="仿宋" w:eastAsia="仿宋" w:cs="Times New Roman"/>
          <w:sz w:val="32"/>
          <w:szCs w:val="30"/>
        </w:rPr>
        <w:t>指为保障行政单位（包括参照公务员法管理的事业单位）运行用于购买货物和服务的各项资金，包括办公费、印刷费、邮电费、差旅费、会议费、福利费、日常维修费、专用材料及一般设备购置费、办公用房水电费、办公用房取暖费、办公用房物业管理费、公务用车运行维护费以及其他费用。</w:t>
      </w:r>
    </w:p>
    <w:p w14:paraId="34092D70">
      <w:pPr>
        <w:ind w:firstLine="643"/>
        <w:rPr>
          <w:rFonts w:ascii="仿宋" w:hAnsi="仿宋" w:eastAsia="仿宋" w:cs="Times New Roman"/>
          <w:sz w:val="32"/>
          <w:szCs w:val="30"/>
        </w:rPr>
      </w:pPr>
      <w:r>
        <w:rPr>
          <w:rFonts w:hint="eastAsia" w:ascii="楷体" w:hAnsi="楷体" w:eastAsia="楷体" w:cs="Times New Roman"/>
          <w:b/>
          <w:bCs/>
          <w:sz w:val="32"/>
          <w:szCs w:val="20"/>
        </w:rPr>
        <w:t>十八、</w:t>
      </w:r>
      <w:r>
        <w:rPr>
          <w:rFonts w:hint="eastAsia" w:ascii="仿宋" w:hAnsi="仿宋" w:eastAsia="仿宋" w:cs="Times New Roman"/>
          <w:sz w:val="32"/>
          <w:szCs w:val="30"/>
        </w:rPr>
        <w:t>对部门使用的所有“项”级政府收支分类科目，参照《2023年政府收支分类科目》中的科目说明和中央部门决算公开内容进行说明。</w:t>
      </w:r>
    </w:p>
    <w:p w14:paraId="2C718A70">
      <w:pPr>
        <w:spacing w:line="240" w:lineRule="auto"/>
        <w:ind w:firstLine="640"/>
        <w:rPr>
          <w:rFonts w:ascii="仿宋" w:hAnsi="仿宋" w:eastAsia="仿宋" w:cs="Times New Roman"/>
          <w:sz w:val="32"/>
          <w:szCs w:val="30"/>
        </w:rPr>
      </w:pPr>
    </w:p>
    <w:sectPr>
      <w:footerReference r:id="rId18"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FE2B20B-C64F-4F8F-930C-085A5621925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6C6DD6B-A264-4819-A244-57DCB86F2AE1}"/>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embedRegular r:id="rId3" w:fontKey="{7683C212-B59C-4471-A1D7-284F6AA913CA}"/>
  </w:font>
  <w:font w:name="仿宋">
    <w:panose1 w:val="02010609060101010101"/>
    <w:charset w:val="86"/>
    <w:family w:val="modern"/>
    <w:pitch w:val="default"/>
    <w:sig w:usb0="800002BF" w:usb1="38CF7CFA" w:usb2="00000016" w:usb3="00000000" w:csb0="00040001" w:csb1="00000000"/>
    <w:embedRegular r:id="rId4" w:fontKey="{2CAC68C9-DA09-40B4-B1FA-01C4F94DBF15}"/>
  </w:font>
  <w:font w:name="方正小标宋简体">
    <w:panose1 w:val="02000000000000000000"/>
    <w:charset w:val="86"/>
    <w:family w:val="auto"/>
    <w:pitch w:val="default"/>
    <w:sig w:usb0="00000001" w:usb1="08000000" w:usb2="00000000" w:usb3="00000000" w:csb0="00040000" w:csb1="00000000"/>
    <w:embedRegular r:id="rId5" w:fontKey="{99B6AC0D-98ED-40FD-8C79-8A3E3D870ACB}"/>
  </w:font>
  <w:font w:name="楷体">
    <w:panose1 w:val="02010609060101010101"/>
    <w:charset w:val="86"/>
    <w:family w:val="modern"/>
    <w:pitch w:val="default"/>
    <w:sig w:usb0="800002BF" w:usb1="38CF7CFA" w:usb2="00000016" w:usb3="00000000" w:csb0="00040001" w:csb1="00000000"/>
    <w:embedRegular r:id="rId6" w:fontKey="{BD4AE27A-3181-42FA-9DA0-D9935578A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4AC6D">
    <w:pPr>
      <w:spacing w:line="174" w:lineRule="auto"/>
      <w:ind w:left="4124" w:firstLine="420"/>
      <w:rPr>
        <w:rFonts w:ascii="Times New Roman" w:hAnsi="Times New Roman" w:eastAsia="Times New Roman" w:cs="Times New Roman"/>
      </w:rPr>
    </w:pPr>
    <w:r>
      <w:rPr>
        <w:rFonts w:ascii="Times New Roman" w:hAnsi="Times New Roman" w:eastAsia="Times New Roman" w:cs="Times New Roman"/>
      </w:rPr>
      <w:t>5</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95279658"/>
      <w:docPartObj>
        <w:docPartGallery w:val="AutoText"/>
      </w:docPartObj>
    </w:sdtPr>
    <w:sdtContent>
      <w:p w14:paraId="1FC55600">
        <w:pPr>
          <w:pStyle w:val="4"/>
          <w:ind w:firstLine="360"/>
          <w:jc w:val="center"/>
        </w:pPr>
        <w:r>
          <w:fldChar w:fldCharType="begin"/>
        </w:r>
        <w:r>
          <w:instrText xml:space="preserve"> PAGE   \* MERGEFORMAT </w:instrText>
        </w:r>
        <w:r>
          <w:fldChar w:fldCharType="separate"/>
        </w:r>
        <w:r>
          <w:rPr>
            <w:lang w:val="zh-CN"/>
          </w:rPr>
          <w:t>21</w:t>
        </w:r>
        <w:r>
          <w:rPr>
            <w:lang w:val="zh-CN"/>
          </w:rPr>
          <w:fldChar w:fldCharType="end"/>
        </w:r>
      </w:p>
    </w:sdtContent>
  </w:sdt>
  <w:p w14:paraId="64F0B288">
    <w:pPr>
      <w:spacing w:line="177" w:lineRule="auto"/>
      <w:ind w:left="4090" w:firstLine="420"/>
      <w:rPr>
        <w:rFonts w:ascii="Times New Roman" w:hAnsi="Times New Roman" w:eastAsia="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1BCE78">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3606D6">
    <w:pPr>
      <w:pStyle w:val="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176BD">
    <w:pPr>
      <w:spacing w:line="176" w:lineRule="auto"/>
      <w:ind w:left="4123" w:firstLine="420"/>
      <w:rPr>
        <w:rFonts w:ascii="Times New Roman" w:hAnsi="Times New Roman" w:eastAsia="Times New Roman" w:cs="Times New Roman"/>
      </w:rPr>
    </w:pPr>
    <w:r>
      <w:rPr>
        <w:rFonts w:ascii="Times New Roman" w:hAnsi="Times New Roman" w:eastAsia="Times New Roman" w:cs="Times New Roman"/>
      </w:rPr>
      <w:t>6</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766577">
    <w:pPr>
      <w:spacing w:line="174" w:lineRule="auto"/>
      <w:ind w:left="4122" w:firstLine="420"/>
      <w:rPr>
        <w:rFonts w:ascii="Times New Roman" w:hAnsi="Times New Roman" w:eastAsia="Times New Roman" w:cs="Times New Roman"/>
      </w:rPr>
    </w:pPr>
    <w:r>
      <w:rPr>
        <w:rFonts w:ascii="Times New Roman" w:hAnsi="Times New Roman" w:eastAsia="Times New Roman" w:cs="Times New Roman"/>
      </w:rPr>
      <w:t>7</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FED28">
    <w:pPr>
      <w:spacing w:line="176" w:lineRule="auto"/>
      <w:ind w:left="4127" w:firstLine="420"/>
      <w:rPr>
        <w:rFonts w:ascii="Times New Roman" w:hAnsi="Times New Roman" w:eastAsia="Times New Roman" w:cs="Times New Roman"/>
      </w:rPr>
    </w:pPr>
    <w:r>
      <w:rPr>
        <w:rFonts w:ascii="Times New Roman" w:hAnsi="Times New Roman" w:eastAsia="Times New Roman" w:cs="Times New Roman"/>
      </w:rPr>
      <w:t>8</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3ACB08">
    <w:pPr>
      <w:spacing w:line="176" w:lineRule="auto"/>
      <w:ind w:left="4122" w:firstLine="420"/>
      <w:rPr>
        <w:rFonts w:ascii="Times New Roman" w:hAnsi="Times New Roman" w:eastAsia="Times New Roman" w:cs="Times New Roman"/>
      </w:rPr>
    </w:pPr>
    <w:r>
      <w:rPr>
        <w:rFonts w:ascii="Times New Roman" w:hAnsi="Times New Roman" w:eastAsia="Times New Roman" w:cs="Times New Roman"/>
      </w:rPr>
      <w:t>9</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633268">
    <w:pPr>
      <w:spacing w:line="176" w:lineRule="auto"/>
      <w:ind w:left="4088" w:firstLine="396"/>
      <w:rPr>
        <w:rFonts w:ascii="Times New Roman" w:hAnsi="Times New Roman" w:eastAsia="Times New Roman" w:cs="Times New Roman"/>
      </w:rPr>
    </w:pPr>
    <w:r>
      <w:rPr>
        <w:rFonts w:ascii="Times New Roman" w:hAnsi="Times New Roman" w:eastAsia="Times New Roman" w:cs="Times New Roman"/>
        <w:spacing w:val="-6"/>
      </w:rPr>
      <w:t>13</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F7BC1C">
    <w:pPr>
      <w:spacing w:line="176" w:lineRule="auto"/>
      <w:ind w:left="4088" w:firstLine="396"/>
      <w:rPr>
        <w:rFonts w:ascii="Times New Roman" w:hAnsi="Times New Roman" w:eastAsia="Times New Roman" w:cs="Times New Roman"/>
      </w:rPr>
    </w:pPr>
    <w:r>
      <w:rPr>
        <w:rFonts w:ascii="Times New Roman" w:hAnsi="Times New Roman" w:eastAsia="Times New Roman" w:cs="Times New Roman"/>
        <w:spacing w:val="-6"/>
      </w:rPr>
      <w:t>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20"/>
      </w:pPr>
      <w:r>
        <w:separator/>
      </w:r>
    </w:p>
  </w:footnote>
  <w:footnote w:type="continuationSeparator" w:id="1">
    <w:p>
      <w:pPr>
        <w:spacing w:line="24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CCCB8D">
    <w:pPr>
      <w:pStyle w:val="5"/>
      <w:spacing w:line="240" w:lineRule="auto"/>
      <w:ind w:firstLine="0" w:firstLineChars="0"/>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72F22">
    <w:pPr>
      <w:pStyle w:val="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A72A6">
    <w:pPr>
      <w:pStyle w:val="5"/>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13A45">
    <w:pPr>
      <w:pStyle w:val="5"/>
      <w:pBdr>
        <w:bottom w:val="single" w:color="auto" w:sz="6" w:space="17"/>
      </w:pBdr>
      <w:ind w:firstLine="0" w:firstLineChars="0"/>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2"/>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U2OWQ0N2VmZmY5YzU3NDNlYTg5ZTkyZDQzODZmM2UifQ=="/>
  </w:docVars>
  <w:rsids>
    <w:rsidRoot w:val="00021E06"/>
    <w:rsid w:val="00002708"/>
    <w:rsid w:val="00004BFC"/>
    <w:rsid w:val="00010BCC"/>
    <w:rsid w:val="00015250"/>
    <w:rsid w:val="00015469"/>
    <w:rsid w:val="00015D3B"/>
    <w:rsid w:val="000203CE"/>
    <w:rsid w:val="00020A4A"/>
    <w:rsid w:val="00021E06"/>
    <w:rsid w:val="00025111"/>
    <w:rsid w:val="00025AEA"/>
    <w:rsid w:val="00032E9D"/>
    <w:rsid w:val="00033584"/>
    <w:rsid w:val="000377EA"/>
    <w:rsid w:val="00041D85"/>
    <w:rsid w:val="00044E59"/>
    <w:rsid w:val="0004678A"/>
    <w:rsid w:val="00047A51"/>
    <w:rsid w:val="00047FE0"/>
    <w:rsid w:val="00053EE9"/>
    <w:rsid w:val="00056A03"/>
    <w:rsid w:val="00066E3E"/>
    <w:rsid w:val="00072132"/>
    <w:rsid w:val="000736F5"/>
    <w:rsid w:val="00073813"/>
    <w:rsid w:val="000745B5"/>
    <w:rsid w:val="000747C9"/>
    <w:rsid w:val="00074CD3"/>
    <w:rsid w:val="00076B9C"/>
    <w:rsid w:val="00077874"/>
    <w:rsid w:val="00077AC9"/>
    <w:rsid w:val="00083599"/>
    <w:rsid w:val="00083BFC"/>
    <w:rsid w:val="00093D9F"/>
    <w:rsid w:val="00094B3C"/>
    <w:rsid w:val="00096B8B"/>
    <w:rsid w:val="00097AF8"/>
    <w:rsid w:val="000A1716"/>
    <w:rsid w:val="000A285E"/>
    <w:rsid w:val="000A35DF"/>
    <w:rsid w:val="000A6DDF"/>
    <w:rsid w:val="000A6F79"/>
    <w:rsid w:val="000B01DE"/>
    <w:rsid w:val="000B5F20"/>
    <w:rsid w:val="000B7E8F"/>
    <w:rsid w:val="000C64E8"/>
    <w:rsid w:val="000E0C32"/>
    <w:rsid w:val="000E3F77"/>
    <w:rsid w:val="000E43E7"/>
    <w:rsid w:val="000E58DD"/>
    <w:rsid w:val="000E5E9C"/>
    <w:rsid w:val="000F0ECA"/>
    <w:rsid w:val="000F3BF0"/>
    <w:rsid w:val="000F3D74"/>
    <w:rsid w:val="000F5A19"/>
    <w:rsid w:val="001008AA"/>
    <w:rsid w:val="00100B35"/>
    <w:rsid w:val="00104353"/>
    <w:rsid w:val="0010479D"/>
    <w:rsid w:val="00105025"/>
    <w:rsid w:val="00107A4D"/>
    <w:rsid w:val="00110495"/>
    <w:rsid w:val="0011252D"/>
    <w:rsid w:val="001206CC"/>
    <w:rsid w:val="00125E90"/>
    <w:rsid w:val="00131C48"/>
    <w:rsid w:val="00133787"/>
    <w:rsid w:val="00134E9D"/>
    <w:rsid w:val="00137D22"/>
    <w:rsid w:val="00144C48"/>
    <w:rsid w:val="001458C4"/>
    <w:rsid w:val="00147EA8"/>
    <w:rsid w:val="00154F9C"/>
    <w:rsid w:val="00156B4D"/>
    <w:rsid w:val="00160983"/>
    <w:rsid w:val="00171601"/>
    <w:rsid w:val="00172EFE"/>
    <w:rsid w:val="001828B3"/>
    <w:rsid w:val="001846C2"/>
    <w:rsid w:val="00184977"/>
    <w:rsid w:val="00187039"/>
    <w:rsid w:val="00187CDA"/>
    <w:rsid w:val="0019223F"/>
    <w:rsid w:val="00194748"/>
    <w:rsid w:val="00195FCB"/>
    <w:rsid w:val="0019672E"/>
    <w:rsid w:val="001A09F4"/>
    <w:rsid w:val="001A1231"/>
    <w:rsid w:val="001A209A"/>
    <w:rsid w:val="001A2ECA"/>
    <w:rsid w:val="001A3278"/>
    <w:rsid w:val="001A53E1"/>
    <w:rsid w:val="001A6D3F"/>
    <w:rsid w:val="001C0B31"/>
    <w:rsid w:val="001C3345"/>
    <w:rsid w:val="001D41E6"/>
    <w:rsid w:val="001D572B"/>
    <w:rsid w:val="001E4C68"/>
    <w:rsid w:val="001E6859"/>
    <w:rsid w:val="001F15CF"/>
    <w:rsid w:val="001F324B"/>
    <w:rsid w:val="001F4A93"/>
    <w:rsid w:val="001F722F"/>
    <w:rsid w:val="001F763F"/>
    <w:rsid w:val="00201664"/>
    <w:rsid w:val="002045C2"/>
    <w:rsid w:val="00212928"/>
    <w:rsid w:val="00220C3E"/>
    <w:rsid w:val="00222530"/>
    <w:rsid w:val="00224946"/>
    <w:rsid w:val="002251B2"/>
    <w:rsid w:val="00225462"/>
    <w:rsid w:val="002310FE"/>
    <w:rsid w:val="002334BA"/>
    <w:rsid w:val="002339A9"/>
    <w:rsid w:val="00234A9B"/>
    <w:rsid w:val="00244104"/>
    <w:rsid w:val="00251BF0"/>
    <w:rsid w:val="00254D18"/>
    <w:rsid w:val="00257225"/>
    <w:rsid w:val="002608F5"/>
    <w:rsid w:val="00260DC9"/>
    <w:rsid w:val="0026252D"/>
    <w:rsid w:val="00264F21"/>
    <w:rsid w:val="002660D0"/>
    <w:rsid w:val="00266927"/>
    <w:rsid w:val="00266C35"/>
    <w:rsid w:val="002706E0"/>
    <w:rsid w:val="00271520"/>
    <w:rsid w:val="00273A87"/>
    <w:rsid w:val="002767CE"/>
    <w:rsid w:val="00277B72"/>
    <w:rsid w:val="002812B8"/>
    <w:rsid w:val="00281656"/>
    <w:rsid w:val="00293F61"/>
    <w:rsid w:val="002965F7"/>
    <w:rsid w:val="002972D6"/>
    <w:rsid w:val="002A0286"/>
    <w:rsid w:val="002A209D"/>
    <w:rsid w:val="002A4E61"/>
    <w:rsid w:val="002A7946"/>
    <w:rsid w:val="002B0634"/>
    <w:rsid w:val="002B0997"/>
    <w:rsid w:val="002B1260"/>
    <w:rsid w:val="002B2126"/>
    <w:rsid w:val="002B388D"/>
    <w:rsid w:val="002B7084"/>
    <w:rsid w:val="002C0618"/>
    <w:rsid w:val="002C11C1"/>
    <w:rsid w:val="002C5C8E"/>
    <w:rsid w:val="002C5E4F"/>
    <w:rsid w:val="002C6A15"/>
    <w:rsid w:val="002D0C3F"/>
    <w:rsid w:val="002D2ADE"/>
    <w:rsid w:val="002D35E1"/>
    <w:rsid w:val="002D4C20"/>
    <w:rsid w:val="002D6D19"/>
    <w:rsid w:val="002E40E1"/>
    <w:rsid w:val="002E6545"/>
    <w:rsid w:val="002E7F50"/>
    <w:rsid w:val="002F0693"/>
    <w:rsid w:val="002F0F99"/>
    <w:rsid w:val="002F2611"/>
    <w:rsid w:val="002F3BD0"/>
    <w:rsid w:val="002F6448"/>
    <w:rsid w:val="003111E2"/>
    <w:rsid w:val="003115A9"/>
    <w:rsid w:val="003121B3"/>
    <w:rsid w:val="00314515"/>
    <w:rsid w:val="00322C18"/>
    <w:rsid w:val="00330275"/>
    <w:rsid w:val="00333952"/>
    <w:rsid w:val="00333C7D"/>
    <w:rsid w:val="00336203"/>
    <w:rsid w:val="00337F45"/>
    <w:rsid w:val="0034572C"/>
    <w:rsid w:val="00345EDE"/>
    <w:rsid w:val="00352416"/>
    <w:rsid w:val="00357944"/>
    <w:rsid w:val="00357CB7"/>
    <w:rsid w:val="0036110E"/>
    <w:rsid w:val="003628A4"/>
    <w:rsid w:val="00365810"/>
    <w:rsid w:val="003744B6"/>
    <w:rsid w:val="0037528C"/>
    <w:rsid w:val="0037538C"/>
    <w:rsid w:val="00381126"/>
    <w:rsid w:val="00392912"/>
    <w:rsid w:val="0039501E"/>
    <w:rsid w:val="003951A6"/>
    <w:rsid w:val="0039535C"/>
    <w:rsid w:val="003A131B"/>
    <w:rsid w:val="003A26A6"/>
    <w:rsid w:val="003A395F"/>
    <w:rsid w:val="003A5EF1"/>
    <w:rsid w:val="003B2A50"/>
    <w:rsid w:val="003C7FA7"/>
    <w:rsid w:val="003E46BE"/>
    <w:rsid w:val="003F10DB"/>
    <w:rsid w:val="003F671F"/>
    <w:rsid w:val="003F67C4"/>
    <w:rsid w:val="003F7B64"/>
    <w:rsid w:val="00400C5A"/>
    <w:rsid w:val="00404859"/>
    <w:rsid w:val="00404B05"/>
    <w:rsid w:val="00404E9F"/>
    <w:rsid w:val="00412F43"/>
    <w:rsid w:val="00413BFD"/>
    <w:rsid w:val="00413F0C"/>
    <w:rsid w:val="00416293"/>
    <w:rsid w:val="0043010B"/>
    <w:rsid w:val="00431366"/>
    <w:rsid w:val="004320AC"/>
    <w:rsid w:val="004352E4"/>
    <w:rsid w:val="0045036C"/>
    <w:rsid w:val="004613F9"/>
    <w:rsid w:val="00461BE4"/>
    <w:rsid w:val="004652E0"/>
    <w:rsid w:val="0047171B"/>
    <w:rsid w:val="004738F1"/>
    <w:rsid w:val="0047492B"/>
    <w:rsid w:val="00492C39"/>
    <w:rsid w:val="004A33E2"/>
    <w:rsid w:val="004A3C57"/>
    <w:rsid w:val="004A3DA2"/>
    <w:rsid w:val="004A5692"/>
    <w:rsid w:val="004A64AF"/>
    <w:rsid w:val="004A669A"/>
    <w:rsid w:val="004B1068"/>
    <w:rsid w:val="004B224A"/>
    <w:rsid w:val="004B6B2F"/>
    <w:rsid w:val="004C0DEC"/>
    <w:rsid w:val="004C2B26"/>
    <w:rsid w:val="004D5DFC"/>
    <w:rsid w:val="004E4E1F"/>
    <w:rsid w:val="004E5CC7"/>
    <w:rsid w:val="004F47EC"/>
    <w:rsid w:val="005009E4"/>
    <w:rsid w:val="005021AC"/>
    <w:rsid w:val="00505B99"/>
    <w:rsid w:val="00510F2A"/>
    <w:rsid w:val="005110EC"/>
    <w:rsid w:val="005111D6"/>
    <w:rsid w:val="005145A7"/>
    <w:rsid w:val="00517B49"/>
    <w:rsid w:val="00530DED"/>
    <w:rsid w:val="00537415"/>
    <w:rsid w:val="00541385"/>
    <w:rsid w:val="005424C4"/>
    <w:rsid w:val="00544D16"/>
    <w:rsid w:val="00545A0C"/>
    <w:rsid w:val="00545D2A"/>
    <w:rsid w:val="00546CB2"/>
    <w:rsid w:val="0055672F"/>
    <w:rsid w:val="00563F6D"/>
    <w:rsid w:val="00567C1C"/>
    <w:rsid w:val="00572FE6"/>
    <w:rsid w:val="00573ABF"/>
    <w:rsid w:val="00577A2F"/>
    <w:rsid w:val="0059005C"/>
    <w:rsid w:val="00592000"/>
    <w:rsid w:val="0059237B"/>
    <w:rsid w:val="0059292F"/>
    <w:rsid w:val="00592E00"/>
    <w:rsid w:val="00594FED"/>
    <w:rsid w:val="00596A5D"/>
    <w:rsid w:val="00597090"/>
    <w:rsid w:val="005A23E7"/>
    <w:rsid w:val="005A3DCD"/>
    <w:rsid w:val="005A472B"/>
    <w:rsid w:val="005B1D24"/>
    <w:rsid w:val="005B41FD"/>
    <w:rsid w:val="005B6B9C"/>
    <w:rsid w:val="005D23DE"/>
    <w:rsid w:val="005D2661"/>
    <w:rsid w:val="005D4B16"/>
    <w:rsid w:val="005D692E"/>
    <w:rsid w:val="005E2C0F"/>
    <w:rsid w:val="005E4C3F"/>
    <w:rsid w:val="005E6444"/>
    <w:rsid w:val="005F3F9C"/>
    <w:rsid w:val="005F5C19"/>
    <w:rsid w:val="005F5D5F"/>
    <w:rsid w:val="005F70A6"/>
    <w:rsid w:val="00606875"/>
    <w:rsid w:val="0061014A"/>
    <w:rsid w:val="00611C1C"/>
    <w:rsid w:val="00616CA9"/>
    <w:rsid w:val="006178D6"/>
    <w:rsid w:val="0062442C"/>
    <w:rsid w:val="00630167"/>
    <w:rsid w:val="00630387"/>
    <w:rsid w:val="00631351"/>
    <w:rsid w:val="0063244E"/>
    <w:rsid w:val="00633B76"/>
    <w:rsid w:val="00636262"/>
    <w:rsid w:val="00636CDE"/>
    <w:rsid w:val="00644406"/>
    <w:rsid w:val="006448C9"/>
    <w:rsid w:val="00655464"/>
    <w:rsid w:val="00665E7A"/>
    <w:rsid w:val="006665CD"/>
    <w:rsid w:val="00667809"/>
    <w:rsid w:val="00671E7B"/>
    <w:rsid w:val="006721A0"/>
    <w:rsid w:val="00672EC1"/>
    <w:rsid w:val="006814DA"/>
    <w:rsid w:val="00682043"/>
    <w:rsid w:val="006872EF"/>
    <w:rsid w:val="0069028C"/>
    <w:rsid w:val="006A2886"/>
    <w:rsid w:val="006B0D2D"/>
    <w:rsid w:val="006B595D"/>
    <w:rsid w:val="006C0524"/>
    <w:rsid w:val="006C738E"/>
    <w:rsid w:val="006D2A5D"/>
    <w:rsid w:val="006D53A1"/>
    <w:rsid w:val="006D6CBE"/>
    <w:rsid w:val="006D7ED3"/>
    <w:rsid w:val="006E2721"/>
    <w:rsid w:val="006E2728"/>
    <w:rsid w:val="006E3050"/>
    <w:rsid w:val="006E3DC2"/>
    <w:rsid w:val="006E4D4D"/>
    <w:rsid w:val="006F0CFF"/>
    <w:rsid w:val="007017C1"/>
    <w:rsid w:val="00704921"/>
    <w:rsid w:val="0070624A"/>
    <w:rsid w:val="00712447"/>
    <w:rsid w:val="0071358A"/>
    <w:rsid w:val="007201DE"/>
    <w:rsid w:val="00727C70"/>
    <w:rsid w:val="00727F21"/>
    <w:rsid w:val="00732324"/>
    <w:rsid w:val="007325A5"/>
    <w:rsid w:val="00737ED3"/>
    <w:rsid w:val="00743D6A"/>
    <w:rsid w:val="00745068"/>
    <w:rsid w:val="007513A0"/>
    <w:rsid w:val="00752625"/>
    <w:rsid w:val="0076343A"/>
    <w:rsid w:val="00766352"/>
    <w:rsid w:val="007750D2"/>
    <w:rsid w:val="00775869"/>
    <w:rsid w:val="00776023"/>
    <w:rsid w:val="007760DA"/>
    <w:rsid w:val="00777621"/>
    <w:rsid w:val="00780CF7"/>
    <w:rsid w:val="00782A9B"/>
    <w:rsid w:val="0079563D"/>
    <w:rsid w:val="00795D2A"/>
    <w:rsid w:val="00797902"/>
    <w:rsid w:val="007A1815"/>
    <w:rsid w:val="007A1C3C"/>
    <w:rsid w:val="007B25A1"/>
    <w:rsid w:val="007B6DB1"/>
    <w:rsid w:val="007C21F0"/>
    <w:rsid w:val="007C2C67"/>
    <w:rsid w:val="007C4DB1"/>
    <w:rsid w:val="007D0488"/>
    <w:rsid w:val="007D0B9C"/>
    <w:rsid w:val="007D3587"/>
    <w:rsid w:val="007D7C55"/>
    <w:rsid w:val="007E2A9E"/>
    <w:rsid w:val="007E7591"/>
    <w:rsid w:val="007E7DB8"/>
    <w:rsid w:val="007F1B29"/>
    <w:rsid w:val="00801FD5"/>
    <w:rsid w:val="0080287C"/>
    <w:rsid w:val="00804891"/>
    <w:rsid w:val="00810D7F"/>
    <w:rsid w:val="00816581"/>
    <w:rsid w:val="00817A47"/>
    <w:rsid w:val="0082169A"/>
    <w:rsid w:val="0083080E"/>
    <w:rsid w:val="00830F35"/>
    <w:rsid w:val="00832B83"/>
    <w:rsid w:val="00833705"/>
    <w:rsid w:val="00834115"/>
    <w:rsid w:val="00836DFB"/>
    <w:rsid w:val="00841240"/>
    <w:rsid w:val="00843334"/>
    <w:rsid w:val="00845D3B"/>
    <w:rsid w:val="00847883"/>
    <w:rsid w:val="0086027A"/>
    <w:rsid w:val="00861317"/>
    <w:rsid w:val="00862979"/>
    <w:rsid w:val="008807C2"/>
    <w:rsid w:val="008817E9"/>
    <w:rsid w:val="00881C71"/>
    <w:rsid w:val="00884082"/>
    <w:rsid w:val="0088705F"/>
    <w:rsid w:val="0088782D"/>
    <w:rsid w:val="00891D30"/>
    <w:rsid w:val="00892272"/>
    <w:rsid w:val="008939F2"/>
    <w:rsid w:val="00893E4F"/>
    <w:rsid w:val="00894CD0"/>
    <w:rsid w:val="008A2500"/>
    <w:rsid w:val="008B143D"/>
    <w:rsid w:val="008B36CB"/>
    <w:rsid w:val="008B5944"/>
    <w:rsid w:val="008C3B83"/>
    <w:rsid w:val="008C51C1"/>
    <w:rsid w:val="008D4685"/>
    <w:rsid w:val="008E26E1"/>
    <w:rsid w:val="008E3C10"/>
    <w:rsid w:val="008E4661"/>
    <w:rsid w:val="008E5772"/>
    <w:rsid w:val="00901EED"/>
    <w:rsid w:val="00903DF1"/>
    <w:rsid w:val="009066F2"/>
    <w:rsid w:val="00916858"/>
    <w:rsid w:val="00916B3C"/>
    <w:rsid w:val="0092304F"/>
    <w:rsid w:val="00924C7E"/>
    <w:rsid w:val="009262A8"/>
    <w:rsid w:val="00926FE2"/>
    <w:rsid w:val="00927CE8"/>
    <w:rsid w:val="009305E2"/>
    <w:rsid w:val="00931004"/>
    <w:rsid w:val="009338F3"/>
    <w:rsid w:val="009427D2"/>
    <w:rsid w:val="00957746"/>
    <w:rsid w:val="00961C4D"/>
    <w:rsid w:val="00962EE2"/>
    <w:rsid w:val="00975DD7"/>
    <w:rsid w:val="00980142"/>
    <w:rsid w:val="0098161C"/>
    <w:rsid w:val="00982B77"/>
    <w:rsid w:val="00984853"/>
    <w:rsid w:val="00985271"/>
    <w:rsid w:val="009854D1"/>
    <w:rsid w:val="00990790"/>
    <w:rsid w:val="00992A02"/>
    <w:rsid w:val="00992F53"/>
    <w:rsid w:val="0099347A"/>
    <w:rsid w:val="00993618"/>
    <w:rsid w:val="0099405C"/>
    <w:rsid w:val="009A0555"/>
    <w:rsid w:val="009A1600"/>
    <w:rsid w:val="009A3552"/>
    <w:rsid w:val="009A5265"/>
    <w:rsid w:val="009B5E6F"/>
    <w:rsid w:val="009C12FE"/>
    <w:rsid w:val="009C2E40"/>
    <w:rsid w:val="009C33C0"/>
    <w:rsid w:val="009C4539"/>
    <w:rsid w:val="009C78D4"/>
    <w:rsid w:val="009E269C"/>
    <w:rsid w:val="009E604A"/>
    <w:rsid w:val="009E6281"/>
    <w:rsid w:val="009F4B4C"/>
    <w:rsid w:val="009F5920"/>
    <w:rsid w:val="00A01804"/>
    <w:rsid w:val="00A02E90"/>
    <w:rsid w:val="00A10C44"/>
    <w:rsid w:val="00A1498A"/>
    <w:rsid w:val="00A149D0"/>
    <w:rsid w:val="00A200DA"/>
    <w:rsid w:val="00A23349"/>
    <w:rsid w:val="00A26F5B"/>
    <w:rsid w:val="00A30BB7"/>
    <w:rsid w:val="00A30F2E"/>
    <w:rsid w:val="00A31112"/>
    <w:rsid w:val="00A31395"/>
    <w:rsid w:val="00A318E2"/>
    <w:rsid w:val="00A31C52"/>
    <w:rsid w:val="00A4171B"/>
    <w:rsid w:val="00A47AD4"/>
    <w:rsid w:val="00A52409"/>
    <w:rsid w:val="00A5665A"/>
    <w:rsid w:val="00A6158D"/>
    <w:rsid w:val="00A620CE"/>
    <w:rsid w:val="00A63442"/>
    <w:rsid w:val="00A67D86"/>
    <w:rsid w:val="00A73284"/>
    <w:rsid w:val="00A7626A"/>
    <w:rsid w:val="00A832AE"/>
    <w:rsid w:val="00A85451"/>
    <w:rsid w:val="00A876BB"/>
    <w:rsid w:val="00A91167"/>
    <w:rsid w:val="00AA481D"/>
    <w:rsid w:val="00AB0261"/>
    <w:rsid w:val="00AB0562"/>
    <w:rsid w:val="00AC0C53"/>
    <w:rsid w:val="00AC2967"/>
    <w:rsid w:val="00AC310B"/>
    <w:rsid w:val="00AC7392"/>
    <w:rsid w:val="00AD2094"/>
    <w:rsid w:val="00AD3B42"/>
    <w:rsid w:val="00AE02B0"/>
    <w:rsid w:val="00AE3B24"/>
    <w:rsid w:val="00AE3CC3"/>
    <w:rsid w:val="00AE4208"/>
    <w:rsid w:val="00AE75A2"/>
    <w:rsid w:val="00AF1BDD"/>
    <w:rsid w:val="00AF21B0"/>
    <w:rsid w:val="00AF3A76"/>
    <w:rsid w:val="00AF5CA6"/>
    <w:rsid w:val="00B03977"/>
    <w:rsid w:val="00B03A7E"/>
    <w:rsid w:val="00B063B2"/>
    <w:rsid w:val="00B122F1"/>
    <w:rsid w:val="00B135B8"/>
    <w:rsid w:val="00B1420F"/>
    <w:rsid w:val="00B156EA"/>
    <w:rsid w:val="00B2228A"/>
    <w:rsid w:val="00B27D1D"/>
    <w:rsid w:val="00B324E9"/>
    <w:rsid w:val="00B4179B"/>
    <w:rsid w:val="00B44AE0"/>
    <w:rsid w:val="00B51896"/>
    <w:rsid w:val="00B53182"/>
    <w:rsid w:val="00B67E86"/>
    <w:rsid w:val="00B72DF6"/>
    <w:rsid w:val="00B744DB"/>
    <w:rsid w:val="00B837C8"/>
    <w:rsid w:val="00B94E1D"/>
    <w:rsid w:val="00BA27C6"/>
    <w:rsid w:val="00BA5D84"/>
    <w:rsid w:val="00BB0D6D"/>
    <w:rsid w:val="00BB5E4D"/>
    <w:rsid w:val="00BD1463"/>
    <w:rsid w:val="00BD242A"/>
    <w:rsid w:val="00BD25F2"/>
    <w:rsid w:val="00BE2483"/>
    <w:rsid w:val="00BE7646"/>
    <w:rsid w:val="00BF2D04"/>
    <w:rsid w:val="00BF3951"/>
    <w:rsid w:val="00C032D2"/>
    <w:rsid w:val="00C111E8"/>
    <w:rsid w:val="00C251F9"/>
    <w:rsid w:val="00C25CD1"/>
    <w:rsid w:val="00C276F9"/>
    <w:rsid w:val="00C33DEE"/>
    <w:rsid w:val="00C34826"/>
    <w:rsid w:val="00C348D7"/>
    <w:rsid w:val="00C44622"/>
    <w:rsid w:val="00C457A4"/>
    <w:rsid w:val="00C51500"/>
    <w:rsid w:val="00C51C9B"/>
    <w:rsid w:val="00C61D4B"/>
    <w:rsid w:val="00C639E4"/>
    <w:rsid w:val="00C63E53"/>
    <w:rsid w:val="00C65A95"/>
    <w:rsid w:val="00C77B30"/>
    <w:rsid w:val="00C84166"/>
    <w:rsid w:val="00C85A08"/>
    <w:rsid w:val="00C87AC7"/>
    <w:rsid w:val="00C95131"/>
    <w:rsid w:val="00CA0C45"/>
    <w:rsid w:val="00CA1F41"/>
    <w:rsid w:val="00CA69BF"/>
    <w:rsid w:val="00CB46CE"/>
    <w:rsid w:val="00CC10A0"/>
    <w:rsid w:val="00CC7A99"/>
    <w:rsid w:val="00CC7D1E"/>
    <w:rsid w:val="00CD1859"/>
    <w:rsid w:val="00CD2967"/>
    <w:rsid w:val="00CD4277"/>
    <w:rsid w:val="00CD7FE0"/>
    <w:rsid w:val="00CE06A1"/>
    <w:rsid w:val="00CE3C79"/>
    <w:rsid w:val="00CE565A"/>
    <w:rsid w:val="00CE719A"/>
    <w:rsid w:val="00CF1E00"/>
    <w:rsid w:val="00CF4589"/>
    <w:rsid w:val="00CF5D1A"/>
    <w:rsid w:val="00D00769"/>
    <w:rsid w:val="00D01187"/>
    <w:rsid w:val="00D0724B"/>
    <w:rsid w:val="00D178B8"/>
    <w:rsid w:val="00D17DD5"/>
    <w:rsid w:val="00D2112E"/>
    <w:rsid w:val="00D25EB6"/>
    <w:rsid w:val="00D33ED7"/>
    <w:rsid w:val="00D37D87"/>
    <w:rsid w:val="00D401FA"/>
    <w:rsid w:val="00D4127B"/>
    <w:rsid w:val="00D42F1D"/>
    <w:rsid w:val="00D50AF2"/>
    <w:rsid w:val="00D52CF2"/>
    <w:rsid w:val="00D56880"/>
    <w:rsid w:val="00D56D84"/>
    <w:rsid w:val="00D57F65"/>
    <w:rsid w:val="00D61578"/>
    <w:rsid w:val="00D63B42"/>
    <w:rsid w:val="00D810C0"/>
    <w:rsid w:val="00D81752"/>
    <w:rsid w:val="00D8293D"/>
    <w:rsid w:val="00D92A20"/>
    <w:rsid w:val="00D93687"/>
    <w:rsid w:val="00D93F03"/>
    <w:rsid w:val="00D9460C"/>
    <w:rsid w:val="00D957C9"/>
    <w:rsid w:val="00D96002"/>
    <w:rsid w:val="00DB21E6"/>
    <w:rsid w:val="00DB2B9D"/>
    <w:rsid w:val="00DB35AF"/>
    <w:rsid w:val="00DB75CA"/>
    <w:rsid w:val="00DC2D31"/>
    <w:rsid w:val="00DC6B79"/>
    <w:rsid w:val="00DD62CC"/>
    <w:rsid w:val="00DE0136"/>
    <w:rsid w:val="00DE0E28"/>
    <w:rsid w:val="00DE4136"/>
    <w:rsid w:val="00DF0617"/>
    <w:rsid w:val="00DF3A24"/>
    <w:rsid w:val="00DF46FC"/>
    <w:rsid w:val="00E032A4"/>
    <w:rsid w:val="00E10395"/>
    <w:rsid w:val="00E12B94"/>
    <w:rsid w:val="00E14572"/>
    <w:rsid w:val="00E22C17"/>
    <w:rsid w:val="00E2747B"/>
    <w:rsid w:val="00E32D8B"/>
    <w:rsid w:val="00E32EA2"/>
    <w:rsid w:val="00E32EB5"/>
    <w:rsid w:val="00E332AC"/>
    <w:rsid w:val="00E33F1A"/>
    <w:rsid w:val="00E3432E"/>
    <w:rsid w:val="00E36ACE"/>
    <w:rsid w:val="00E4105B"/>
    <w:rsid w:val="00E43F36"/>
    <w:rsid w:val="00E55731"/>
    <w:rsid w:val="00E6107B"/>
    <w:rsid w:val="00E6287D"/>
    <w:rsid w:val="00E65919"/>
    <w:rsid w:val="00E76C49"/>
    <w:rsid w:val="00EA152A"/>
    <w:rsid w:val="00EC0A04"/>
    <w:rsid w:val="00EC1AF1"/>
    <w:rsid w:val="00EC2C83"/>
    <w:rsid w:val="00EC62AD"/>
    <w:rsid w:val="00ED21BC"/>
    <w:rsid w:val="00ED7CB2"/>
    <w:rsid w:val="00EE0287"/>
    <w:rsid w:val="00EE1B1B"/>
    <w:rsid w:val="00EE1B3A"/>
    <w:rsid w:val="00EF515D"/>
    <w:rsid w:val="00F057A5"/>
    <w:rsid w:val="00F11E80"/>
    <w:rsid w:val="00F11ECD"/>
    <w:rsid w:val="00F1266E"/>
    <w:rsid w:val="00F14759"/>
    <w:rsid w:val="00F16561"/>
    <w:rsid w:val="00F3484B"/>
    <w:rsid w:val="00F355CA"/>
    <w:rsid w:val="00F41A03"/>
    <w:rsid w:val="00F45F05"/>
    <w:rsid w:val="00F514D7"/>
    <w:rsid w:val="00F52F64"/>
    <w:rsid w:val="00F549A0"/>
    <w:rsid w:val="00F71F8A"/>
    <w:rsid w:val="00F72A1F"/>
    <w:rsid w:val="00F73480"/>
    <w:rsid w:val="00F7482A"/>
    <w:rsid w:val="00F75351"/>
    <w:rsid w:val="00F762D2"/>
    <w:rsid w:val="00F77BCF"/>
    <w:rsid w:val="00F77DBE"/>
    <w:rsid w:val="00F907AF"/>
    <w:rsid w:val="00F92430"/>
    <w:rsid w:val="00F92B76"/>
    <w:rsid w:val="00F92FEC"/>
    <w:rsid w:val="00F93E0E"/>
    <w:rsid w:val="00F9536E"/>
    <w:rsid w:val="00F9731C"/>
    <w:rsid w:val="00FA0EF2"/>
    <w:rsid w:val="00FA105E"/>
    <w:rsid w:val="00FA2B90"/>
    <w:rsid w:val="00FA2E88"/>
    <w:rsid w:val="00FA5D8E"/>
    <w:rsid w:val="00FB1925"/>
    <w:rsid w:val="00FC191C"/>
    <w:rsid w:val="00FC30F5"/>
    <w:rsid w:val="00FC7FDE"/>
    <w:rsid w:val="00FD062B"/>
    <w:rsid w:val="00FD192E"/>
    <w:rsid w:val="00FD5B53"/>
    <w:rsid w:val="00FD5D90"/>
    <w:rsid w:val="00FE00BE"/>
    <w:rsid w:val="00FE1311"/>
    <w:rsid w:val="00FE26A3"/>
    <w:rsid w:val="00FE28A9"/>
    <w:rsid w:val="00FE4E82"/>
    <w:rsid w:val="00FF0851"/>
    <w:rsid w:val="00FF1414"/>
    <w:rsid w:val="00FF71E1"/>
    <w:rsid w:val="70BA49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76" w:lineRule="exact"/>
      <w:ind w:firstLine="200" w:firstLineChars="20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8"/>
    <w:semiHidden/>
    <w:qFormat/>
    <w:uiPriority w:val="0"/>
    <w:pPr>
      <w:widowControl/>
      <w:kinsoku w:val="0"/>
      <w:autoSpaceDE w:val="0"/>
      <w:autoSpaceDN w:val="0"/>
      <w:adjustRightInd w:val="0"/>
      <w:snapToGrid w:val="0"/>
      <w:jc w:val="left"/>
      <w:textAlignment w:val="baseline"/>
    </w:pPr>
    <w:rPr>
      <w:rFonts w:ascii="Arial" w:hAnsi="Arial" w:eastAsia="Arial" w:cs="Arial"/>
      <w:snapToGrid w:val="0"/>
      <w:color w:val="000000"/>
      <w:kern w:val="0"/>
      <w:szCs w:val="21"/>
      <w:lang w:eastAsia="en-US"/>
    </w:rPr>
  </w:style>
  <w:style w:type="paragraph" w:styleId="3">
    <w:name w:val="Balloon Text"/>
    <w:basedOn w:val="1"/>
    <w:link w:val="9"/>
    <w:semiHidden/>
    <w:unhideWhenUsed/>
    <w:qFormat/>
    <w:uiPriority w:val="99"/>
    <w:pPr>
      <w:spacing w:line="240" w:lineRule="auto"/>
    </w:pPr>
    <w:rPr>
      <w:sz w:val="18"/>
      <w:szCs w:val="18"/>
    </w:rPr>
  </w:style>
  <w:style w:type="paragraph" w:styleId="4">
    <w:name w:val="footer"/>
    <w:basedOn w:val="1"/>
    <w:link w:val="11"/>
    <w:unhideWhenUsed/>
    <w:qFormat/>
    <w:uiPriority w:val="99"/>
    <w:pPr>
      <w:tabs>
        <w:tab w:val="center" w:pos="4153"/>
        <w:tab w:val="right" w:pos="8306"/>
      </w:tabs>
      <w:snapToGrid w:val="0"/>
      <w:spacing w:line="240" w:lineRule="atLeast"/>
      <w:jc w:val="left"/>
    </w:pPr>
    <w:rPr>
      <w:sz w:val="18"/>
      <w:szCs w:val="18"/>
    </w:rPr>
  </w:style>
  <w:style w:type="paragraph" w:styleId="5">
    <w:name w:val="header"/>
    <w:basedOn w:val="1"/>
    <w:link w:val="10"/>
    <w:semiHidden/>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character" w:customStyle="1" w:styleId="8">
    <w:name w:val="正文文本 Char"/>
    <w:basedOn w:val="7"/>
    <w:link w:val="2"/>
    <w:semiHidden/>
    <w:qFormat/>
    <w:uiPriority w:val="0"/>
    <w:rPr>
      <w:rFonts w:ascii="Arial" w:hAnsi="Arial" w:eastAsia="Arial" w:cs="Arial"/>
      <w:snapToGrid w:val="0"/>
      <w:color w:val="000000"/>
      <w:kern w:val="0"/>
      <w:szCs w:val="21"/>
      <w:lang w:eastAsia="en-US"/>
    </w:rPr>
  </w:style>
  <w:style w:type="character" w:customStyle="1" w:styleId="9">
    <w:name w:val="批注框文本 Char"/>
    <w:basedOn w:val="7"/>
    <w:link w:val="3"/>
    <w:semiHidden/>
    <w:qFormat/>
    <w:uiPriority w:val="99"/>
    <w:rPr>
      <w:sz w:val="18"/>
      <w:szCs w:val="18"/>
    </w:rPr>
  </w:style>
  <w:style w:type="character" w:customStyle="1" w:styleId="10">
    <w:name w:val="页眉 Char"/>
    <w:basedOn w:val="7"/>
    <w:link w:val="5"/>
    <w:semiHidden/>
    <w:qFormat/>
    <w:uiPriority w:val="99"/>
    <w:rPr>
      <w:sz w:val="18"/>
      <w:szCs w:val="18"/>
    </w:rPr>
  </w:style>
  <w:style w:type="character" w:customStyle="1" w:styleId="11">
    <w:name w:val="页脚 Char"/>
    <w:basedOn w:val="7"/>
    <w:link w:val="4"/>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10.jpeg"/><Relationship Id="rId28" Type="http://schemas.openxmlformats.org/officeDocument/2006/relationships/image" Target="media/image9.jpeg"/><Relationship Id="rId27" Type="http://schemas.openxmlformats.org/officeDocument/2006/relationships/image" Target="media/image8.jpeg"/><Relationship Id="rId26" Type="http://schemas.openxmlformats.org/officeDocument/2006/relationships/image" Target="media/image7.jpeg"/><Relationship Id="rId25" Type="http://schemas.openxmlformats.org/officeDocument/2006/relationships/image" Target="media/image6.jpeg"/><Relationship Id="rId24" Type="http://schemas.openxmlformats.org/officeDocument/2006/relationships/image" Target="media/image5.jpeg"/><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10.xml"/><Relationship Id="rId17" Type="http://schemas.openxmlformats.org/officeDocument/2006/relationships/footer" Target="footer9.xml"/><Relationship Id="rId16" Type="http://schemas.openxmlformats.org/officeDocument/2006/relationships/header" Target="header4.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C825B0-6FB8-4735-BE3D-102005E31369}">
  <ds:schemaRefs/>
</ds:datastoreItem>
</file>

<file path=docProps/app.xml><?xml version="1.0" encoding="utf-8"?>
<Properties xmlns="http://schemas.openxmlformats.org/officeDocument/2006/extended-properties" xmlns:vt="http://schemas.openxmlformats.org/officeDocument/2006/docPropsVTypes">
  <Template>Normal</Template>
  <Pages>21</Pages>
  <Words>6078</Words>
  <Characters>6617</Characters>
  <Lines>48</Lines>
  <Paragraphs>13</Paragraphs>
  <TotalTime>47</TotalTime>
  <ScaleCrop>false</ScaleCrop>
  <LinksUpToDate>false</LinksUpToDate>
  <CharactersWithSpaces>6649</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2024-09-09T04:14:00Z</dcterms:created>
  <dc:creator>长春市南关区长通街道办事处</dc:creator>
  <cp:lastModifiedBy>可爱王</cp:lastModifiedBy>
  <dcterms:modified xsi:type="dcterms:W3CDTF">2024-09-09T06:29:39Z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EC62BF8D27894610BB0D5B386CD82A06_12</vt:lpwstr>
  </property>
</Properties>
</file>