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0FF47">
      <w:pPr>
        <w:spacing w:before="180" w:line="219" w:lineRule="auto"/>
        <w:ind w:left="4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3178B96C">
      <w:pPr>
        <w:pStyle w:val="2"/>
        <w:spacing w:line="251" w:lineRule="auto"/>
      </w:pPr>
    </w:p>
    <w:p w14:paraId="737CEECF">
      <w:pPr>
        <w:pStyle w:val="2"/>
        <w:spacing w:line="251" w:lineRule="auto"/>
      </w:pPr>
    </w:p>
    <w:p w14:paraId="05A8D836">
      <w:pPr>
        <w:pStyle w:val="2"/>
        <w:spacing w:line="252" w:lineRule="auto"/>
      </w:pPr>
    </w:p>
    <w:p w14:paraId="0FDF0979">
      <w:pPr>
        <w:pStyle w:val="2"/>
        <w:spacing w:line="252" w:lineRule="auto"/>
      </w:pPr>
    </w:p>
    <w:p w14:paraId="74EC7AD8">
      <w:pPr>
        <w:pStyle w:val="2"/>
        <w:spacing w:line="252" w:lineRule="auto"/>
      </w:pPr>
    </w:p>
    <w:p w14:paraId="5DCFD7CF">
      <w:pPr>
        <w:pStyle w:val="2"/>
        <w:spacing w:line="252" w:lineRule="auto"/>
      </w:pPr>
    </w:p>
    <w:p w14:paraId="11352B20">
      <w:pPr>
        <w:pStyle w:val="2"/>
        <w:spacing w:line="252" w:lineRule="auto"/>
      </w:pPr>
    </w:p>
    <w:p w14:paraId="391C9B27">
      <w:pPr>
        <w:pStyle w:val="2"/>
        <w:spacing w:line="252" w:lineRule="auto"/>
      </w:pPr>
    </w:p>
    <w:p w14:paraId="1A87FE78">
      <w:pPr>
        <w:pStyle w:val="2"/>
        <w:spacing w:line="252" w:lineRule="auto"/>
      </w:pPr>
    </w:p>
    <w:p w14:paraId="5159B01C">
      <w:pPr>
        <w:pStyle w:val="2"/>
        <w:spacing w:line="252" w:lineRule="auto"/>
      </w:pPr>
    </w:p>
    <w:p w14:paraId="2FFB5BD6">
      <w:pPr>
        <w:pStyle w:val="2"/>
        <w:spacing w:line="252" w:lineRule="auto"/>
      </w:pPr>
    </w:p>
    <w:p w14:paraId="697691A6">
      <w:pPr>
        <w:pStyle w:val="2"/>
        <w:spacing w:line="252" w:lineRule="auto"/>
      </w:pPr>
    </w:p>
    <w:p w14:paraId="59585C01">
      <w:pPr>
        <w:pStyle w:val="2"/>
        <w:spacing w:line="252" w:lineRule="auto"/>
      </w:pPr>
    </w:p>
    <w:p w14:paraId="5D3F5A82">
      <w:pPr>
        <w:spacing w:before="180" w:line="187" w:lineRule="auto"/>
        <w:jc w:val="center"/>
        <w:rPr>
          <w:rFonts w:ascii="微软雅黑" w:hAnsi="微软雅黑" w:eastAsia="微软雅黑" w:cs="微软雅黑"/>
          <w:spacing w:val="4"/>
          <w:sz w:val="42"/>
          <w:szCs w:val="42"/>
        </w:rPr>
      </w:pPr>
      <w:r>
        <w:rPr>
          <w:rFonts w:ascii="微软雅黑" w:hAnsi="微软雅黑" w:eastAsia="微软雅黑" w:cs="微软雅黑"/>
          <w:spacing w:val="4"/>
          <w:sz w:val="42"/>
          <w:szCs w:val="42"/>
        </w:rPr>
        <w:t>2023 年度</w:t>
      </w:r>
    </w:p>
    <w:p w14:paraId="099D50F2">
      <w:pPr>
        <w:spacing w:before="180" w:line="187" w:lineRule="auto"/>
        <w:jc w:val="center"/>
        <w:rPr>
          <w:rFonts w:ascii="微软雅黑" w:hAnsi="微软雅黑" w:eastAsia="微软雅黑" w:cs="微软雅黑"/>
          <w:spacing w:val="4"/>
          <w:sz w:val="42"/>
          <w:szCs w:val="42"/>
        </w:rPr>
      </w:pPr>
    </w:p>
    <w:p w14:paraId="224C9E22">
      <w:pPr>
        <w:spacing w:before="180" w:line="187" w:lineRule="auto"/>
        <w:jc w:val="center"/>
        <w:rPr>
          <w:rFonts w:hint="eastAsia" w:ascii="微软雅黑" w:hAnsi="微软雅黑" w:eastAsia="微软雅黑" w:cs="微软雅黑"/>
          <w:spacing w:val="4"/>
          <w:sz w:val="42"/>
          <w:szCs w:val="42"/>
          <w:lang w:val="en-US" w:eastAsia="zh-CN"/>
        </w:rPr>
      </w:pPr>
      <w:r>
        <w:rPr>
          <w:rFonts w:hint="eastAsia" w:ascii="微软雅黑" w:hAnsi="微软雅黑" w:eastAsia="微软雅黑" w:cs="微软雅黑"/>
          <w:spacing w:val="4"/>
          <w:sz w:val="42"/>
          <w:szCs w:val="42"/>
          <w:lang w:val="en-US" w:eastAsia="zh-CN"/>
        </w:rPr>
        <w:t>长春市南关区残疾人联合会（汇总）</w:t>
      </w:r>
    </w:p>
    <w:p w14:paraId="5D99ABE8">
      <w:pPr>
        <w:spacing w:before="180" w:line="187" w:lineRule="auto"/>
        <w:jc w:val="center"/>
        <w:rPr>
          <w:rFonts w:ascii="微软雅黑" w:hAnsi="微软雅黑" w:eastAsia="微软雅黑" w:cs="微软雅黑"/>
          <w:spacing w:val="4"/>
          <w:sz w:val="42"/>
          <w:szCs w:val="42"/>
        </w:rPr>
      </w:pPr>
      <w:r>
        <w:rPr>
          <w:rFonts w:ascii="微软雅黑" w:hAnsi="微软雅黑" w:eastAsia="微软雅黑" w:cs="微软雅黑"/>
          <w:spacing w:val="4"/>
          <w:sz w:val="42"/>
          <w:szCs w:val="42"/>
        </w:rPr>
        <w:t>部门决算</w:t>
      </w:r>
    </w:p>
    <w:p w14:paraId="5B7C7627">
      <w:pPr>
        <w:pStyle w:val="2"/>
        <w:spacing w:line="242" w:lineRule="auto"/>
      </w:pPr>
    </w:p>
    <w:p w14:paraId="381FF0C9">
      <w:pPr>
        <w:pStyle w:val="2"/>
        <w:spacing w:line="242" w:lineRule="auto"/>
      </w:pPr>
    </w:p>
    <w:p w14:paraId="7F84CC86">
      <w:pPr>
        <w:pStyle w:val="2"/>
        <w:spacing w:line="242" w:lineRule="auto"/>
      </w:pPr>
    </w:p>
    <w:p w14:paraId="099A1CDD">
      <w:pPr>
        <w:pStyle w:val="2"/>
        <w:spacing w:line="242" w:lineRule="auto"/>
      </w:pPr>
    </w:p>
    <w:p w14:paraId="62AA1577">
      <w:pPr>
        <w:pStyle w:val="2"/>
        <w:spacing w:line="242" w:lineRule="auto"/>
      </w:pPr>
    </w:p>
    <w:p w14:paraId="711E76A0">
      <w:pPr>
        <w:pStyle w:val="2"/>
        <w:spacing w:line="242" w:lineRule="auto"/>
      </w:pPr>
    </w:p>
    <w:p w14:paraId="22F9FB8D">
      <w:pPr>
        <w:pStyle w:val="2"/>
        <w:spacing w:line="242" w:lineRule="auto"/>
      </w:pPr>
    </w:p>
    <w:p w14:paraId="49DC92BA">
      <w:pPr>
        <w:pStyle w:val="2"/>
        <w:spacing w:line="242" w:lineRule="auto"/>
      </w:pPr>
    </w:p>
    <w:p w14:paraId="09300D80">
      <w:pPr>
        <w:pStyle w:val="2"/>
        <w:spacing w:line="242" w:lineRule="auto"/>
      </w:pPr>
    </w:p>
    <w:p w14:paraId="63CD9021">
      <w:pPr>
        <w:pStyle w:val="2"/>
        <w:spacing w:line="242" w:lineRule="auto"/>
      </w:pPr>
    </w:p>
    <w:p w14:paraId="2DF41E99">
      <w:pPr>
        <w:pStyle w:val="2"/>
        <w:spacing w:line="242" w:lineRule="auto"/>
      </w:pPr>
    </w:p>
    <w:p w14:paraId="46F0A5D5">
      <w:pPr>
        <w:pStyle w:val="2"/>
        <w:spacing w:line="243" w:lineRule="auto"/>
      </w:pPr>
    </w:p>
    <w:p w14:paraId="3F088308">
      <w:pPr>
        <w:pStyle w:val="2"/>
        <w:spacing w:line="243" w:lineRule="auto"/>
      </w:pPr>
    </w:p>
    <w:p w14:paraId="2C1FE07E">
      <w:pPr>
        <w:pStyle w:val="2"/>
        <w:spacing w:line="243" w:lineRule="auto"/>
      </w:pPr>
    </w:p>
    <w:p w14:paraId="6EBD2A8B">
      <w:pPr>
        <w:pStyle w:val="2"/>
        <w:spacing w:line="243" w:lineRule="auto"/>
      </w:pPr>
    </w:p>
    <w:p w14:paraId="00E33971">
      <w:pPr>
        <w:pStyle w:val="2"/>
        <w:spacing w:line="243" w:lineRule="auto"/>
      </w:pPr>
    </w:p>
    <w:p w14:paraId="10880D22">
      <w:pPr>
        <w:pStyle w:val="2"/>
        <w:spacing w:line="243" w:lineRule="auto"/>
      </w:pPr>
    </w:p>
    <w:p w14:paraId="03733258">
      <w:pPr>
        <w:pStyle w:val="2"/>
        <w:spacing w:line="243" w:lineRule="auto"/>
      </w:pPr>
    </w:p>
    <w:p w14:paraId="2C468A06">
      <w:pPr>
        <w:pStyle w:val="2"/>
        <w:spacing w:line="243" w:lineRule="auto"/>
      </w:pPr>
    </w:p>
    <w:p w14:paraId="48571497">
      <w:pPr>
        <w:pStyle w:val="2"/>
        <w:spacing w:line="243" w:lineRule="auto"/>
      </w:pPr>
    </w:p>
    <w:p w14:paraId="361253F4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 xml:space="preserve">9 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 xml:space="preserve"> 5 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219E6143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FA898D7">
      <w:pPr>
        <w:pStyle w:val="2"/>
        <w:spacing w:line="289" w:lineRule="auto"/>
      </w:pPr>
    </w:p>
    <w:p w14:paraId="5BAA8F58">
      <w:pPr>
        <w:pStyle w:val="2"/>
        <w:spacing w:line="290" w:lineRule="auto"/>
      </w:pPr>
    </w:p>
    <w:p w14:paraId="718940AB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250F3502">
      <w:pPr>
        <w:pStyle w:val="2"/>
        <w:spacing w:line="341" w:lineRule="auto"/>
      </w:pPr>
    </w:p>
    <w:p w14:paraId="4D522DFB">
      <w:pPr>
        <w:pStyle w:val="2"/>
        <w:spacing w:line="342" w:lineRule="auto"/>
      </w:pPr>
    </w:p>
    <w:p w14:paraId="2CE02416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1A31FCA5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005DAA3B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44E5D5B3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4D94EA4F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0100D845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44752999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288644E5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4DFD980E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055E6023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3CD37B20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00FAEAEC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2116D9BC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03CB7162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6EB2FD91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2F6DF7FA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1F1A6273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684B96DD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015EDB0F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12DC9EC6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2BA2F168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0286FD44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262EB995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436E3A5F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67E3C235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4CACBAA1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11435475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483B3B9B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092E72DE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1131B8E3">
      <w:pPr>
        <w:pStyle w:val="2"/>
        <w:spacing w:line="328" w:lineRule="auto"/>
      </w:pPr>
    </w:p>
    <w:p w14:paraId="0229030C">
      <w:pPr>
        <w:pStyle w:val="2"/>
        <w:spacing w:line="328" w:lineRule="auto"/>
      </w:pPr>
    </w:p>
    <w:p w14:paraId="34B2AD47">
      <w:pPr>
        <w:spacing w:before="189" w:line="443" w:lineRule="exact"/>
        <w:ind w:left="2215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部门概况</w:t>
      </w:r>
    </w:p>
    <w:p w14:paraId="44974881">
      <w:pPr>
        <w:pStyle w:val="2"/>
        <w:spacing w:line="314" w:lineRule="auto"/>
      </w:pPr>
    </w:p>
    <w:p w14:paraId="7B7ED8B2">
      <w:pPr>
        <w:pStyle w:val="2"/>
        <w:spacing w:line="314" w:lineRule="auto"/>
      </w:pPr>
    </w:p>
    <w:p w14:paraId="2DE398C7">
      <w:pPr>
        <w:pStyle w:val="2"/>
        <w:spacing w:line="315" w:lineRule="auto"/>
      </w:pPr>
    </w:p>
    <w:p w14:paraId="1CF3DBFE">
      <w:pPr>
        <w:numPr>
          <w:ilvl w:val="0"/>
          <w:numId w:val="0"/>
        </w:numPr>
        <w:spacing w:before="101" w:line="224" w:lineRule="auto"/>
        <w:ind w:firstLine="648" w:firstLineChars="200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pacing w:val="7"/>
          <w:sz w:val="31"/>
          <w:szCs w:val="31"/>
          <w:lang w:val="en-US" w:eastAsia="zh-CN"/>
        </w:rPr>
        <w:t>一、</w:t>
      </w:r>
      <w:r>
        <w:rPr>
          <w:rFonts w:ascii="黑体" w:hAnsi="黑体" w:eastAsia="黑体" w:cs="黑体"/>
          <w:spacing w:val="7"/>
          <w:sz w:val="31"/>
          <w:szCs w:val="31"/>
        </w:rPr>
        <w:t>部门主要职责</w:t>
      </w:r>
    </w:p>
    <w:p w14:paraId="4ED9C4CB">
      <w:pPr>
        <w:spacing w:before="249" w:line="223" w:lineRule="auto"/>
        <w:ind w:left="38"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（一）听取残疾人意见，反映残疾人需求，维护残疾人权益，为残疾人服务。</w:t>
      </w:r>
    </w:p>
    <w:p w14:paraId="7BF959B8">
      <w:pPr>
        <w:spacing w:before="249" w:line="223" w:lineRule="auto"/>
        <w:ind w:left="38"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（二）团结、教育残疾人，遵守法律，履行应尽的义务。发扬乐观进取精神，自尊、自强、自主，为社会主义建设贡献力量。</w:t>
      </w:r>
    </w:p>
    <w:p w14:paraId="3C3CF39B">
      <w:pPr>
        <w:spacing w:before="249" w:line="223" w:lineRule="auto"/>
        <w:ind w:left="38"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（三）弘扬人道主义，宣传残疾人事业，沟通政府、社会与残疾人之间的联系，动员社会理解、尊重、关心、帮助残疾人。</w:t>
      </w:r>
    </w:p>
    <w:p w14:paraId="5584BB91">
      <w:pPr>
        <w:spacing w:before="249" w:line="223" w:lineRule="auto"/>
        <w:ind w:left="38"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（四）开展残疾人康复、教育、劳动就业、文化、体育、科研、用品供应、福利、社会服务、无障碍设施和残疾预防工作，创造良好的环境和条件，扶助残疾人平等参与社会生活。</w:t>
      </w:r>
    </w:p>
    <w:p w14:paraId="44C48F13">
      <w:pPr>
        <w:spacing w:before="249" w:line="223" w:lineRule="auto"/>
        <w:ind w:left="38"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（五）协助政府研究、制定和实施残疾人事业的规划和计划，对有关业务领域进行指导和管理。</w:t>
      </w:r>
    </w:p>
    <w:p w14:paraId="0A1792F8">
      <w:pPr>
        <w:spacing w:before="249" w:line="223" w:lineRule="auto"/>
        <w:ind w:left="38"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（六）承担政府残疾人工作协调委员会的日常工作，做好综合、组织协调和服务。</w:t>
      </w:r>
    </w:p>
    <w:p w14:paraId="6BB823C5">
      <w:pPr>
        <w:spacing w:before="249" w:line="223" w:lineRule="auto"/>
        <w:ind w:left="38"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（七）指导和管理各类残疾人社团组织，开展残疾人事业的国际交流与合作。</w:t>
      </w:r>
    </w:p>
    <w:p w14:paraId="6AEB6773">
      <w:pPr>
        <w:spacing w:before="249" w:line="223" w:lineRule="auto"/>
        <w:ind w:left="38" w:firstLine="652" w:firstLineChars="200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（八）承担政府交办的其他工作。</w:t>
      </w:r>
    </w:p>
    <w:p w14:paraId="51ACCB20">
      <w:pPr>
        <w:spacing w:before="251" w:line="224" w:lineRule="auto"/>
        <w:ind w:left="672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二、机构设置及部门决算单位构成</w:t>
      </w:r>
    </w:p>
    <w:p w14:paraId="75B0F392">
      <w:pPr>
        <w:pStyle w:val="8"/>
      </w:pPr>
    </w:p>
    <w:p w14:paraId="6714D453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highlight w:val="none"/>
          <w:lang w:val="en-US" w:eastAsia="zh-CN"/>
        </w:rPr>
        <w:t>根据上述职责，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长春市南关区残疾人联合会（汇总）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内设5个机构，分别为办公室、康复科、组联科、维权科、服务中心。</w:t>
      </w:r>
    </w:p>
    <w:p w14:paraId="6612A98B">
      <w:pPr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highlight w:val="none"/>
          <w:lang w:val="en-US" w:eastAsia="zh-CN"/>
        </w:rPr>
        <w:t>纳入长春市南关区残疾人联合会（汇总）2023年度部门决算编制范围的单位包括：</w:t>
      </w:r>
    </w:p>
    <w:p w14:paraId="4C71822E">
      <w:pPr>
        <w:numPr>
          <w:ilvl w:val="0"/>
          <w:numId w:val="1"/>
        </w:numPr>
        <w:ind w:firstLine="640" w:firstLineChars="200"/>
        <w:rPr>
          <w:rFonts w:hint="eastAsia" w:ascii="仿宋" w:hAnsi="仿宋" w:eastAsia="仿宋"/>
          <w:sz w:val="32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0"/>
          <w:highlight w:val="none"/>
          <w:lang w:eastAsia="zh-CN"/>
        </w:rPr>
        <w:t>长春市南关区残疾人联合会本级（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本级</w:t>
      </w:r>
      <w:r>
        <w:rPr>
          <w:rFonts w:hint="eastAsia" w:ascii="仿宋" w:hAnsi="仿宋" w:eastAsia="仿宋"/>
          <w:sz w:val="32"/>
          <w:szCs w:val="30"/>
          <w:highlight w:val="none"/>
          <w:lang w:eastAsia="zh-CN"/>
        </w:rPr>
        <w:t>）</w:t>
      </w:r>
    </w:p>
    <w:p w14:paraId="253117ED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highlight w:val="none"/>
          <w:lang w:val="en-US" w:eastAsia="zh-CN"/>
        </w:rPr>
        <w:t xml:space="preserve">2.  长春市南关区残疾人服务中心   </w:t>
      </w:r>
    </w:p>
    <w:p w14:paraId="0804D8FE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3B6C9D40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1D156AC2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292A40F6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259C07AB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4664FDCA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15CD342C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235CEEF8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6EEDD731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0FA4ECD5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5D17679E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5917D0BF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1C155030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26F348E0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2A4842D9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2C7AFD15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6FE55BBF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404B90B0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43F0B5E1">
      <w:pPr>
        <w:spacing w:line="355" w:lineRule="auto"/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</w:p>
    <w:p w14:paraId="4D2DD654">
      <w:pPr>
        <w:pStyle w:val="2"/>
        <w:spacing w:line="328" w:lineRule="auto"/>
      </w:pPr>
    </w:p>
    <w:p w14:paraId="2E7261C0">
      <w:pPr>
        <w:spacing w:before="189" w:line="186" w:lineRule="auto"/>
        <w:ind w:left="11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z w:val="44"/>
          <w:szCs w:val="44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2023 年度部门决算表</w:t>
      </w:r>
    </w:p>
    <w:p w14:paraId="386C8341">
      <w:pPr>
        <w:pStyle w:val="2"/>
        <w:spacing w:line="268" w:lineRule="auto"/>
      </w:pPr>
    </w:p>
    <w:p w14:paraId="07409A69">
      <w:pPr>
        <w:numPr>
          <w:ilvl w:val="0"/>
          <w:numId w:val="2"/>
        </w:numPr>
        <w:spacing w:before="100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收入支出决算总表</w:t>
      </w:r>
    </w:p>
    <w:p w14:paraId="1B7BFA00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25" o:spt="75" type="#_x0000_t75" style="height:406.6pt;width:416.8pt;" fillcolor="#FFFFFF" filled="f" o:preferrelative="t" stroked="f" coordsize="21600,21600">
            <v:path/>
            <v:fill on="f" color2="#FFFFFF" focussize="0,0"/>
            <v:stroke on="f"/>
            <v:imagedata r:id="rId22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25817997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3CBAFB7F">
      <w:pPr>
        <w:pStyle w:val="2"/>
        <w:spacing w:line="339" w:lineRule="auto"/>
      </w:pPr>
    </w:p>
    <w:p w14:paraId="0C279BED">
      <w:pPr>
        <w:pStyle w:val="2"/>
        <w:spacing w:line="340" w:lineRule="auto"/>
      </w:pPr>
    </w:p>
    <w:p w14:paraId="17CC34F4">
      <w:pPr>
        <w:numPr>
          <w:ilvl w:val="0"/>
          <w:numId w:val="2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收入决算表</w:t>
      </w:r>
    </w:p>
    <w:p w14:paraId="6FA0A5A8">
      <w:pPr>
        <w:pStyle w:val="8"/>
        <w:numPr>
          <w:ilvl w:val="0"/>
          <w:numId w:val="0"/>
        </w:numPr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27" o:spt="75" type="#_x0000_t75" style="height:223.5pt;width:416.55pt;" fillcolor="#FFFFFF" filled="f" o:preferrelative="t" stroked="f" coordsize="21600,21600">
            <v:path/>
            <v:fill on="f" color2="#FFFFFF" focussize="0,0"/>
            <v:stroke on="f"/>
            <v:imagedata r:id="rId23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54BFB664">
      <w:pPr>
        <w:pStyle w:val="2"/>
        <w:spacing w:line="340" w:lineRule="auto"/>
      </w:pPr>
    </w:p>
    <w:p w14:paraId="3F5A0A9E">
      <w:pPr>
        <w:numPr>
          <w:ilvl w:val="0"/>
          <w:numId w:val="2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支出决算表</w:t>
      </w:r>
    </w:p>
    <w:p w14:paraId="04B5673F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28" o:spt="75" type="#_x0000_t75" style="height:250.85pt;width:416.5pt;" fillcolor="#FFFFFF" filled="f" o:preferrelative="t" stroked="f" coordsize="21600,21600">
            <v:path/>
            <v:fill on="f" color2="#FFFFFF" focussize="0,0"/>
            <v:stroke on="f"/>
            <v:imagedata r:id="rId2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5C834969">
      <w:pPr>
        <w:spacing w:line="356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7" w:h="16839"/>
          <w:pgMar w:top="1431" w:right="1785" w:bottom="1150" w:left="1785" w:header="0" w:footer="965" w:gutter="0"/>
          <w:cols w:space="720" w:num="1"/>
        </w:sectPr>
      </w:pPr>
    </w:p>
    <w:p w14:paraId="27A922E9">
      <w:pPr>
        <w:pStyle w:val="2"/>
        <w:spacing w:line="339" w:lineRule="auto"/>
      </w:pPr>
    </w:p>
    <w:p w14:paraId="56B7AB37">
      <w:pPr>
        <w:pStyle w:val="2"/>
        <w:spacing w:line="340" w:lineRule="auto"/>
      </w:pPr>
    </w:p>
    <w:p w14:paraId="257C1030">
      <w:pPr>
        <w:numPr>
          <w:ilvl w:val="0"/>
          <w:numId w:val="2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财政拨款收入支出决算总表</w:t>
      </w:r>
    </w:p>
    <w:p w14:paraId="6CCC54A8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29" o:spt="75" type="#_x0000_t75" style="height:274.8pt;width:416pt;" fillcolor="#FFFFFF" filled="f" o:preferrelative="t" stroked="f" coordsize="21600,21600">
            <v:path/>
            <v:fill on="f" color2="#FFFFFF" focussize="0,0"/>
            <v:stroke on="f"/>
            <v:imagedata r:id="rId25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581F5B19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7A3D951F">
      <w:pPr>
        <w:pStyle w:val="2"/>
        <w:spacing w:line="339" w:lineRule="auto"/>
      </w:pPr>
    </w:p>
    <w:p w14:paraId="1A35331A">
      <w:pPr>
        <w:pStyle w:val="2"/>
        <w:spacing w:line="339" w:lineRule="auto"/>
      </w:pPr>
    </w:p>
    <w:p w14:paraId="39B3800D">
      <w:pPr>
        <w:numPr>
          <w:ilvl w:val="0"/>
          <w:numId w:val="2"/>
        </w:numPr>
        <w:spacing w:before="100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一般公共预算财政拨款支出决算表</w:t>
      </w:r>
    </w:p>
    <w:p w14:paraId="78834CA5">
      <w:pPr>
        <w:pStyle w:val="8"/>
        <w:rPr>
          <w:rFonts w:ascii="黑体" w:hAnsi="黑体" w:eastAsia="黑体" w:cs="黑体"/>
          <w:spacing w:val="8"/>
          <w:sz w:val="31"/>
          <w:szCs w:val="31"/>
        </w:rPr>
      </w:pPr>
    </w:p>
    <w:p w14:paraId="1052747D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30" o:spt="75" type="#_x0000_t75" style="height:294.1pt;width:416.55pt;" fillcolor="#FFFFFF" filled="f" o:preferrelative="t" stroked="f" coordsize="21600,21600">
            <v:path/>
            <v:fill on="f" color2="#FFFFFF" focussize="0,0"/>
            <v:stroke on="f"/>
            <v:imagedata r:id="rId2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540BBEDC">
      <w:pPr>
        <w:pStyle w:val="8"/>
        <w:numPr>
          <w:ilvl w:val="0"/>
          <w:numId w:val="0"/>
        </w:numPr>
      </w:pPr>
    </w:p>
    <w:p w14:paraId="318AE0EB">
      <w:pPr>
        <w:pStyle w:val="8"/>
        <w:numPr>
          <w:ilvl w:val="0"/>
          <w:numId w:val="0"/>
        </w:numPr>
      </w:pPr>
    </w:p>
    <w:p w14:paraId="51866053">
      <w:pPr>
        <w:pStyle w:val="8"/>
        <w:numPr>
          <w:ilvl w:val="0"/>
          <w:numId w:val="0"/>
        </w:numPr>
      </w:pPr>
    </w:p>
    <w:p w14:paraId="66D0F13E">
      <w:pPr>
        <w:pStyle w:val="8"/>
        <w:numPr>
          <w:ilvl w:val="0"/>
          <w:numId w:val="0"/>
        </w:numPr>
      </w:pPr>
    </w:p>
    <w:p w14:paraId="706FB07D">
      <w:pPr>
        <w:pStyle w:val="8"/>
        <w:numPr>
          <w:ilvl w:val="0"/>
          <w:numId w:val="0"/>
        </w:numPr>
      </w:pPr>
    </w:p>
    <w:p w14:paraId="61C533DD">
      <w:pPr>
        <w:pStyle w:val="8"/>
        <w:numPr>
          <w:ilvl w:val="0"/>
          <w:numId w:val="0"/>
        </w:numPr>
      </w:pPr>
    </w:p>
    <w:p w14:paraId="5CA35F9C">
      <w:pPr>
        <w:pStyle w:val="8"/>
        <w:numPr>
          <w:ilvl w:val="0"/>
          <w:numId w:val="0"/>
        </w:numPr>
      </w:pPr>
    </w:p>
    <w:p w14:paraId="01C6AA6E">
      <w:pPr>
        <w:pStyle w:val="8"/>
        <w:numPr>
          <w:ilvl w:val="0"/>
          <w:numId w:val="0"/>
        </w:numPr>
      </w:pPr>
    </w:p>
    <w:p w14:paraId="16930A9B">
      <w:pPr>
        <w:pStyle w:val="8"/>
        <w:numPr>
          <w:ilvl w:val="0"/>
          <w:numId w:val="0"/>
        </w:numPr>
      </w:pPr>
    </w:p>
    <w:p w14:paraId="3367FBC8">
      <w:pPr>
        <w:pStyle w:val="8"/>
        <w:numPr>
          <w:ilvl w:val="0"/>
          <w:numId w:val="0"/>
        </w:numPr>
      </w:pPr>
    </w:p>
    <w:p w14:paraId="24780F3E">
      <w:pPr>
        <w:pStyle w:val="8"/>
        <w:numPr>
          <w:ilvl w:val="0"/>
          <w:numId w:val="0"/>
        </w:numPr>
      </w:pPr>
    </w:p>
    <w:p w14:paraId="4CF750B0">
      <w:pPr>
        <w:pStyle w:val="8"/>
        <w:numPr>
          <w:ilvl w:val="0"/>
          <w:numId w:val="0"/>
        </w:numPr>
      </w:pPr>
    </w:p>
    <w:p w14:paraId="1CEA5BF1">
      <w:pPr>
        <w:pStyle w:val="8"/>
        <w:numPr>
          <w:ilvl w:val="0"/>
          <w:numId w:val="0"/>
        </w:numPr>
      </w:pPr>
    </w:p>
    <w:p w14:paraId="2866A8AD">
      <w:pPr>
        <w:pStyle w:val="8"/>
        <w:numPr>
          <w:ilvl w:val="0"/>
          <w:numId w:val="0"/>
        </w:numPr>
      </w:pPr>
    </w:p>
    <w:p w14:paraId="46DC69DF">
      <w:pPr>
        <w:pStyle w:val="8"/>
        <w:numPr>
          <w:ilvl w:val="0"/>
          <w:numId w:val="0"/>
        </w:numPr>
      </w:pPr>
    </w:p>
    <w:p w14:paraId="4E99FF6B">
      <w:pPr>
        <w:pStyle w:val="8"/>
        <w:numPr>
          <w:ilvl w:val="0"/>
          <w:numId w:val="0"/>
        </w:numPr>
      </w:pPr>
    </w:p>
    <w:p w14:paraId="5F96ECFE">
      <w:pPr>
        <w:pStyle w:val="8"/>
        <w:numPr>
          <w:ilvl w:val="0"/>
          <w:numId w:val="0"/>
        </w:numPr>
      </w:pPr>
    </w:p>
    <w:p w14:paraId="52762569">
      <w:pPr>
        <w:pStyle w:val="8"/>
        <w:numPr>
          <w:ilvl w:val="0"/>
          <w:numId w:val="0"/>
        </w:numPr>
      </w:pPr>
    </w:p>
    <w:p w14:paraId="3BB3059F">
      <w:pPr>
        <w:pStyle w:val="8"/>
        <w:numPr>
          <w:ilvl w:val="0"/>
          <w:numId w:val="0"/>
        </w:numPr>
      </w:pPr>
    </w:p>
    <w:p w14:paraId="56CEB057">
      <w:pPr>
        <w:pStyle w:val="8"/>
        <w:numPr>
          <w:ilvl w:val="0"/>
          <w:numId w:val="0"/>
        </w:numPr>
      </w:pPr>
    </w:p>
    <w:p w14:paraId="79BBF88B">
      <w:pPr>
        <w:pStyle w:val="8"/>
        <w:numPr>
          <w:ilvl w:val="0"/>
          <w:numId w:val="0"/>
        </w:numPr>
      </w:pPr>
    </w:p>
    <w:p w14:paraId="433145BD">
      <w:pPr>
        <w:pStyle w:val="8"/>
        <w:numPr>
          <w:ilvl w:val="0"/>
          <w:numId w:val="0"/>
        </w:numPr>
      </w:pPr>
    </w:p>
    <w:p w14:paraId="0A795BE3">
      <w:pPr>
        <w:pStyle w:val="8"/>
        <w:numPr>
          <w:ilvl w:val="0"/>
          <w:numId w:val="0"/>
        </w:numPr>
      </w:pPr>
    </w:p>
    <w:p w14:paraId="630BD697">
      <w:pPr>
        <w:pStyle w:val="8"/>
        <w:numPr>
          <w:ilvl w:val="0"/>
          <w:numId w:val="0"/>
        </w:numPr>
      </w:pPr>
    </w:p>
    <w:p w14:paraId="3FBAE368">
      <w:pPr>
        <w:pStyle w:val="2"/>
        <w:spacing w:line="339" w:lineRule="auto"/>
      </w:pPr>
    </w:p>
    <w:p w14:paraId="287E152E">
      <w:pPr>
        <w:numPr>
          <w:ilvl w:val="0"/>
          <w:numId w:val="2"/>
        </w:numPr>
        <w:spacing w:before="100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一般公共预算财政拨款基本支出决算明细表</w:t>
      </w:r>
    </w:p>
    <w:p w14:paraId="0A2E67BF">
      <w:pPr>
        <w:pStyle w:val="8"/>
      </w:pPr>
    </w:p>
    <w:p w14:paraId="107696AC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31" o:spt="75" alt="" type="#_x0000_t75" style="height:386pt;width:416.3pt;" filled="f" o:preferrelative="t" stroked="f" coordsize="21600,21600">
            <v:path/>
            <v:fill on="f" focussize="0,0"/>
            <v:stroke on="f"/>
            <v:imagedata r:id="rId27" blacklevel="0f" o:title=""/>
            <o:lock v:ext="edit" aspectratio="t"/>
            <w10:wrap type="none"/>
            <w10:anchorlock/>
          </v:shape>
        </w:pict>
      </w:r>
    </w:p>
    <w:p w14:paraId="4AC65361">
      <w:pPr>
        <w:pStyle w:val="2"/>
        <w:spacing w:line="270" w:lineRule="auto"/>
      </w:pPr>
    </w:p>
    <w:p w14:paraId="44C76D44">
      <w:pPr>
        <w:pStyle w:val="2"/>
        <w:spacing w:line="270" w:lineRule="auto"/>
      </w:pPr>
    </w:p>
    <w:p w14:paraId="681BA73C">
      <w:pPr>
        <w:spacing w:before="100" w:line="361" w:lineRule="auto"/>
        <w:ind w:right="17"/>
        <w:jc w:val="both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3A338B8">
      <w:pPr>
        <w:pStyle w:val="2"/>
        <w:spacing w:line="339" w:lineRule="auto"/>
      </w:pPr>
    </w:p>
    <w:p w14:paraId="19698143">
      <w:pPr>
        <w:pStyle w:val="2"/>
        <w:spacing w:line="340" w:lineRule="auto"/>
      </w:pPr>
    </w:p>
    <w:p w14:paraId="2A473644">
      <w:pPr>
        <w:numPr>
          <w:ilvl w:val="0"/>
          <w:numId w:val="2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政府性基金预算财政拨款收入支出决算表</w:t>
      </w:r>
    </w:p>
    <w:p w14:paraId="5AFA8A43">
      <w:pPr>
        <w:pStyle w:val="8"/>
      </w:pPr>
    </w:p>
    <w:p w14:paraId="58F351B2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32" o:spt="75" type="#_x0000_t75" style="height:132.6pt;width:416pt;" fillcolor="#FFFFFF" filled="f" o:preferrelative="t" stroked="f" coordsize="21600,21600">
            <v:path/>
            <v:fill on="f" color2="#FFFFFF" focussize="0,0"/>
            <v:stroke on="f"/>
            <v:imagedata r:id="rId28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4746520A">
      <w:pPr>
        <w:pStyle w:val="2"/>
        <w:spacing w:line="270" w:lineRule="auto"/>
      </w:pPr>
    </w:p>
    <w:p w14:paraId="34C39743">
      <w:pPr>
        <w:pStyle w:val="2"/>
        <w:spacing w:line="270" w:lineRule="auto"/>
      </w:pPr>
    </w:p>
    <w:p w14:paraId="53EF985E">
      <w:pPr>
        <w:pStyle w:val="2"/>
        <w:spacing w:line="271" w:lineRule="auto"/>
      </w:pPr>
    </w:p>
    <w:p w14:paraId="56093DBE">
      <w:pPr>
        <w:spacing w:line="364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16720F1A">
      <w:pPr>
        <w:pStyle w:val="2"/>
        <w:spacing w:line="339" w:lineRule="auto"/>
      </w:pPr>
    </w:p>
    <w:p w14:paraId="10389AD6">
      <w:pPr>
        <w:pStyle w:val="2"/>
        <w:spacing w:line="340" w:lineRule="auto"/>
      </w:pPr>
    </w:p>
    <w:p w14:paraId="285EF76F">
      <w:pPr>
        <w:numPr>
          <w:ilvl w:val="0"/>
          <w:numId w:val="2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国有资本经营预算财政拨款支出决算表</w:t>
      </w:r>
    </w:p>
    <w:p w14:paraId="1D63FF26">
      <w:pPr>
        <w:pStyle w:val="8"/>
      </w:pPr>
    </w:p>
    <w:p w14:paraId="616FF158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33" o:spt="75" type="#_x0000_t75" style="height:271.6pt;width:416.65pt;" fillcolor="#FFFFFF" filled="f" o:preferrelative="t" stroked="f" coordsize="21600,21600">
            <v:path/>
            <v:fill on="f" color2="#FFFFFF" focussize="0,0"/>
            <v:stroke on="f"/>
            <v:imagedata r:id="rId29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2B82BC66">
      <w:pPr>
        <w:pStyle w:val="2"/>
        <w:spacing w:line="253" w:lineRule="auto"/>
      </w:pPr>
    </w:p>
    <w:p w14:paraId="4273E2E2">
      <w:pPr>
        <w:pStyle w:val="2"/>
        <w:spacing w:line="253" w:lineRule="auto"/>
      </w:pPr>
    </w:p>
    <w:p w14:paraId="78C1C048">
      <w:pPr>
        <w:pStyle w:val="2"/>
        <w:spacing w:line="253" w:lineRule="auto"/>
      </w:pPr>
    </w:p>
    <w:p w14:paraId="100740BE">
      <w:pPr>
        <w:numPr>
          <w:ilvl w:val="0"/>
          <w:numId w:val="0"/>
        </w:numPr>
        <w:spacing w:before="101" w:line="224" w:lineRule="auto"/>
        <w:ind w:left="672" w:leftChars="0"/>
        <w:rPr>
          <w:rFonts w:hint="eastAsia" w:ascii="宋体" w:hAnsi="宋体" w:eastAsia="宋体" w:cs="宋体"/>
          <w:b w:val="0"/>
          <w:bCs w:val="0"/>
          <w:spacing w:val="8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pacing w:val="8"/>
          <w:sz w:val="28"/>
          <w:szCs w:val="28"/>
        </w:rPr>
        <w:t>本单位没有国有资本经营预算财政拨款。</w:t>
      </w:r>
    </w:p>
    <w:p w14:paraId="6D0DC847">
      <w:pPr>
        <w:spacing w:line="364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38378AA1">
      <w:pPr>
        <w:pStyle w:val="2"/>
        <w:spacing w:line="339" w:lineRule="auto"/>
      </w:pPr>
    </w:p>
    <w:p w14:paraId="246C42A3">
      <w:pPr>
        <w:pStyle w:val="2"/>
        <w:spacing w:line="340" w:lineRule="auto"/>
      </w:pPr>
    </w:p>
    <w:p w14:paraId="0D6B4858">
      <w:pPr>
        <w:numPr>
          <w:ilvl w:val="0"/>
          <w:numId w:val="2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财政拨款“三公”经费支出决算表</w:t>
      </w:r>
    </w:p>
    <w:p w14:paraId="0A28DF5A">
      <w:pPr>
        <w:pStyle w:val="8"/>
        <w:numPr>
          <w:ilvl w:val="0"/>
          <w:numId w:val="0"/>
        </w:numPr>
      </w:pPr>
      <w:r>
        <w:rPr>
          <w:rFonts w:ascii="Times New Roman" w:hAnsi="Times New Roman" w:eastAsia="宋体" w:cs="Times New Roman"/>
          <w:color w:val="000000"/>
          <w:sz w:val="24"/>
          <w:szCs w:val="22"/>
          <w:lang w:val="en-US" w:eastAsia="zh-CN" w:bidi="ar-SA"/>
        </w:rPr>
        <w:pict>
          <v:shape id="_x0000_i1034" o:spt="75" type="#_x0000_t75" style="height:227.75pt;width:416.65pt;" fillcolor="#FFFFFF" filled="f" o:preferrelative="t" stroked="f" coordsize="21600,21600">
            <v:path/>
            <v:fill on="f" color2="#FFFFFF" focussize="0,0"/>
            <v:stroke on="f"/>
            <v:imagedata r:id="rId30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4129824D">
      <w:pPr>
        <w:spacing w:line="362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0689E602">
      <w:pPr>
        <w:pStyle w:val="2"/>
        <w:spacing w:line="339" w:lineRule="auto"/>
      </w:pPr>
    </w:p>
    <w:p w14:paraId="3EC5B89E">
      <w:pPr>
        <w:pStyle w:val="2"/>
        <w:spacing w:line="339" w:lineRule="auto"/>
      </w:pPr>
    </w:p>
    <w:p w14:paraId="24DFA485">
      <w:pPr>
        <w:numPr>
          <w:ilvl w:val="0"/>
          <w:numId w:val="2"/>
        </w:numPr>
        <w:spacing w:before="100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  <w:highlight w:val="none"/>
        </w:rPr>
      </w:pPr>
      <w:r>
        <w:rPr>
          <w:rFonts w:ascii="黑体" w:hAnsi="黑体" w:eastAsia="黑体" w:cs="黑体"/>
          <w:spacing w:val="8"/>
          <w:sz w:val="31"/>
          <w:szCs w:val="31"/>
          <w:highlight w:val="none"/>
        </w:rPr>
        <w:t>部门预算项目支出绩效自评表</w:t>
      </w:r>
    </w:p>
    <w:p w14:paraId="1FF025D4">
      <w:pPr>
        <w:numPr>
          <w:ilvl w:val="0"/>
          <w:numId w:val="0"/>
        </w:numPr>
        <w:spacing w:before="100" w:line="224" w:lineRule="auto"/>
      </w:pPr>
      <w:r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  <w:pict>
          <v:shape id="_x0000_i1035" o:spt="75" alt="" type="#_x0000_t75" style="height:433.05pt;width:416.75pt;" filled="f" o:preferrelative="t" stroked="f" coordsize="21600,21600">
            <v:path/>
            <v:fill on="f" focussize="0,0"/>
            <v:stroke on="f"/>
            <v:imagedata r:id="rId31" blacklevel="0f" o:title=""/>
            <o:lock v:ext="edit" aspectratio="t"/>
            <w10:wrap type="none"/>
            <w10:anchorlock/>
          </v:shape>
        </w:pict>
      </w:r>
    </w:p>
    <w:p w14:paraId="0EB284CD">
      <w:pPr>
        <w:numPr>
          <w:ilvl w:val="0"/>
          <w:numId w:val="0"/>
        </w:numPr>
        <w:spacing w:before="100" w:line="224" w:lineRule="auto"/>
      </w:pPr>
      <w:r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  <w:pict>
          <v:shape id="_x0000_i1036" o:spt="75" type="#_x0000_t75" style="height:478.35pt;width:416.65pt;" fillcolor="#FFFFFF" filled="f" o:preferrelative="t" stroked="f" coordsize="21600,21600">
            <v:path/>
            <v:fill on="f" color2="#FFFFFF" focussize="0,0"/>
            <v:stroke on="f"/>
            <v:imagedata r:id="rId32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22A37261">
      <w:pPr>
        <w:spacing w:line="9847" w:lineRule="exact"/>
        <w:sectPr>
          <w:footerReference r:id="rId1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346775AE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0D6B277C">
      <w:pPr>
        <w:pStyle w:val="2"/>
        <w:spacing w:line="314" w:lineRule="auto"/>
      </w:pPr>
    </w:p>
    <w:p w14:paraId="73D89BB5">
      <w:pPr>
        <w:pStyle w:val="2"/>
        <w:spacing w:line="314" w:lineRule="auto"/>
      </w:pPr>
    </w:p>
    <w:p w14:paraId="17DA3962">
      <w:pPr>
        <w:pStyle w:val="2"/>
        <w:spacing w:line="315" w:lineRule="auto"/>
      </w:pPr>
    </w:p>
    <w:p w14:paraId="251A1636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6B8CB9E2">
      <w:pPr>
        <w:spacing w:before="248" w:line="362" w:lineRule="auto"/>
        <w:ind w:left="36" w:right="113" w:firstLine="634"/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收、支总计各1019.25万元、1019.18</w:t>
      </w:r>
      <w:r>
        <w:rPr>
          <w:rFonts w:ascii="仿宋" w:hAnsi="仿宋" w:eastAsia="仿宋" w:cs="仿宋"/>
          <w:spacing w:val="4"/>
          <w:sz w:val="31"/>
          <w:szCs w:val="31"/>
        </w:rPr>
        <w:t>万元。与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年度相比，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收、支总计减少155.61万元、</w:t>
      </w:r>
      <w:r>
        <w:rPr>
          <w:rFonts w:hint="eastAsia" w:ascii="仿宋" w:hAnsi="仿宋" w:eastAsia="仿宋" w:cs="仿宋"/>
          <w:spacing w:val="32"/>
          <w:sz w:val="31"/>
          <w:szCs w:val="31"/>
          <w:lang w:val="en-US" w:eastAsia="zh-CN"/>
        </w:rPr>
        <w:t>122.53</w:t>
      </w:r>
      <w:r>
        <w:rPr>
          <w:rFonts w:ascii="仿宋" w:hAnsi="仿宋" w:eastAsia="仿宋" w:cs="仿宋"/>
          <w:spacing w:val="4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13.25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hint="eastAsia" w:ascii="宋体" w:hAnsi="宋体" w:eastAsia="宋体" w:cs="宋体"/>
          <w:spacing w:val="4"/>
          <w:sz w:val="31"/>
          <w:szCs w:val="31"/>
          <w:lang w:eastAsia="zh-CN"/>
        </w:rPr>
        <w:t>、</w:t>
      </w:r>
      <w:r>
        <w:rPr>
          <w:rFonts w:hint="eastAsia" w:ascii="宋体" w:hAnsi="宋体" w:eastAsia="宋体" w:cs="宋体"/>
          <w:spacing w:val="4"/>
          <w:sz w:val="31"/>
          <w:szCs w:val="31"/>
          <w:lang w:val="en-US" w:eastAsia="zh-CN"/>
        </w:rPr>
        <w:t>10.73%</w:t>
      </w:r>
      <w:r>
        <w:rPr>
          <w:rFonts w:ascii="仿宋" w:hAnsi="仿宋" w:eastAsia="仿宋" w:cs="仿宋"/>
          <w:spacing w:val="4"/>
          <w:sz w:val="31"/>
          <w:szCs w:val="31"/>
        </w:rPr>
        <w:t>。主</w:t>
      </w:r>
      <w:r>
        <w:rPr>
          <w:rFonts w:ascii="仿宋" w:hAnsi="仿宋" w:eastAsia="仿宋" w:cs="仿宋"/>
          <w:spacing w:val="-10"/>
          <w:sz w:val="31"/>
          <w:szCs w:val="31"/>
        </w:rPr>
        <w:t>要原因：</w:t>
      </w:r>
      <w:r>
        <w:rPr>
          <w:rFonts w:hint="eastAsia" w:ascii="仿宋" w:hAnsi="仿宋" w:eastAsia="仿宋" w:cs="仿宋"/>
          <w:spacing w:val="-10"/>
          <w:sz w:val="31"/>
          <w:szCs w:val="31"/>
        </w:rPr>
        <w:t>人员经费和公用经费压缩支出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；</w:t>
      </w:r>
      <w:r>
        <w:rPr>
          <w:rFonts w:hint="eastAsia" w:ascii="仿宋" w:hAnsi="仿宋" w:eastAsia="仿宋" w:cs="仿宋"/>
          <w:spacing w:val="3"/>
          <w:sz w:val="31"/>
          <w:szCs w:val="31"/>
        </w:rPr>
        <w:t>本年项目结算到8月末，导致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项目支出减少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。</w:t>
      </w:r>
    </w:p>
    <w:p w14:paraId="7038BBD9">
      <w:pPr>
        <w:spacing w:before="5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5599652D">
      <w:pPr>
        <w:spacing w:before="253" w:line="368" w:lineRule="auto"/>
        <w:ind w:left="23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1019.25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万元，其中：财政拨款收入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911.83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</w:t>
      </w:r>
      <w:r>
        <w:rPr>
          <w:rFonts w:ascii="仿宋" w:hAnsi="仿宋" w:eastAsia="仿宋" w:cs="仿宋"/>
          <w:spacing w:val="6"/>
          <w:sz w:val="31"/>
          <w:szCs w:val="31"/>
        </w:rPr>
        <w:t>上年减少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96.39</w:t>
      </w:r>
      <w:r>
        <w:rPr>
          <w:rFonts w:ascii="仿宋" w:hAnsi="仿宋" w:eastAsia="仿宋" w:cs="仿宋"/>
          <w:spacing w:val="6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9.56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-10"/>
          <w:sz w:val="31"/>
          <w:szCs w:val="31"/>
        </w:rPr>
        <w:t>人员经费和公用经费压缩支出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3"/>
          <w:sz w:val="31"/>
          <w:szCs w:val="31"/>
        </w:rPr>
        <w:t>本年项目结算到8月末，导致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项目支出减少</w:t>
      </w:r>
      <w:r>
        <w:rPr>
          <w:rFonts w:ascii="仿宋" w:hAnsi="仿宋" w:eastAsia="仿宋" w:cs="仿宋"/>
          <w:spacing w:val="6"/>
          <w:sz w:val="31"/>
          <w:szCs w:val="31"/>
        </w:rPr>
        <w:t>；</w:t>
      </w:r>
      <w:r>
        <w:rPr>
          <w:rFonts w:ascii="仿宋" w:hAnsi="仿宋" w:eastAsia="仿宋" w:cs="仿宋"/>
          <w:spacing w:val="4"/>
          <w:sz w:val="31"/>
          <w:szCs w:val="31"/>
        </w:rPr>
        <w:t>其他收入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22.76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比上年减</w:t>
      </w:r>
      <w:r>
        <w:rPr>
          <w:rFonts w:ascii="仿宋" w:hAnsi="仿宋" w:eastAsia="仿宋" w:cs="仿宋"/>
          <w:spacing w:val="3"/>
          <w:sz w:val="31"/>
          <w:szCs w:val="31"/>
        </w:rPr>
        <w:t>少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59.79</w:t>
      </w:r>
      <w:r>
        <w:rPr>
          <w:rFonts w:ascii="仿宋" w:hAnsi="仿宋" w:eastAsia="仿宋" w:cs="仿宋"/>
          <w:spacing w:val="3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下降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72.43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，主要是</w:t>
      </w:r>
      <w:r>
        <w:rPr>
          <w:rFonts w:ascii="仿宋" w:hAnsi="仿宋" w:eastAsia="仿宋" w:cs="仿宋"/>
          <w:spacing w:val="-95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2022年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市残联拨款，直接拨款到基本户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计入其他收入，本年度无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30322B30">
      <w:pPr>
        <w:numPr>
          <w:ilvl w:val="0"/>
          <w:numId w:val="0"/>
        </w:numPr>
        <w:spacing w:before="158" w:line="224" w:lineRule="auto"/>
        <w:ind w:left="751" w:left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三、</w:t>
      </w:r>
      <w:r>
        <w:rPr>
          <w:rFonts w:ascii="黑体" w:hAnsi="黑体" w:eastAsia="黑体" w:cs="黑体"/>
          <w:spacing w:val="8"/>
          <w:sz w:val="31"/>
          <w:szCs w:val="31"/>
        </w:rPr>
        <w:t>支出决算情况说明</w:t>
      </w:r>
    </w:p>
    <w:p w14:paraId="1C94F94B">
      <w:pPr>
        <w:pStyle w:val="8"/>
        <w:numPr>
          <w:ilvl w:val="0"/>
          <w:numId w:val="0"/>
        </w:numPr>
        <w:ind w:left="751" w:leftChars="0"/>
      </w:pPr>
    </w:p>
    <w:p w14:paraId="61A27A86">
      <w:pPr>
        <w:spacing w:before="47" w:line="356" w:lineRule="auto"/>
        <w:ind w:left="33" w:right="86" w:firstLine="641"/>
      </w:pPr>
      <w:r>
        <w:rPr>
          <w:rFonts w:ascii="仿宋" w:hAnsi="仿宋" w:eastAsia="仿宋" w:cs="仿宋"/>
          <w:spacing w:val="4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1019.18</w:t>
      </w:r>
      <w:r>
        <w:rPr>
          <w:rFonts w:ascii="仿宋" w:hAnsi="仿宋" w:eastAsia="仿宋" w:cs="仿宋"/>
          <w:spacing w:val="4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398.10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增加191.72</w:t>
      </w:r>
      <w:r>
        <w:rPr>
          <w:rFonts w:ascii="仿宋" w:hAnsi="仿宋" w:eastAsia="仿宋" w:cs="仿宋"/>
          <w:spacing w:val="7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上升92.89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7"/>
          <w:sz w:val="31"/>
          <w:szCs w:val="31"/>
        </w:rPr>
        <w:t>给退休人员发放生活补贴，长聘人员经费做到公用经费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6"/>
          <w:sz w:val="31"/>
          <w:szCs w:val="31"/>
        </w:rPr>
        <w:t>项目支</w:t>
      </w:r>
      <w:r>
        <w:rPr>
          <w:rFonts w:ascii="仿宋" w:hAnsi="仿宋" w:eastAsia="仿宋" w:cs="仿宋"/>
          <w:spacing w:val="3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621.08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比上年减少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314.25</w:t>
      </w:r>
      <w:r>
        <w:rPr>
          <w:rFonts w:ascii="仿宋" w:hAnsi="仿宋" w:eastAsia="仿宋" w:cs="仿宋"/>
          <w:spacing w:val="3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33.60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>，主</w:t>
      </w:r>
      <w:r>
        <w:rPr>
          <w:rFonts w:ascii="仿宋" w:hAnsi="仿宋" w:eastAsia="仿宋" w:cs="仿宋"/>
          <w:spacing w:val="-2"/>
          <w:sz w:val="31"/>
          <w:szCs w:val="31"/>
        </w:rPr>
        <w:t>要是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"/>
          <w:sz w:val="31"/>
          <w:szCs w:val="31"/>
        </w:rPr>
        <w:t>本年项目结算到8月末，导致项目减少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。</w:t>
      </w:r>
    </w:p>
    <w:p w14:paraId="15E34386">
      <w:pPr>
        <w:spacing w:before="101" w:line="224" w:lineRule="auto"/>
        <w:rPr>
          <w:rFonts w:ascii="黑体" w:hAnsi="黑体" w:eastAsia="黑体" w:cs="黑体"/>
          <w:spacing w:val="8"/>
          <w:sz w:val="31"/>
          <w:szCs w:val="31"/>
        </w:rPr>
      </w:pPr>
    </w:p>
    <w:p w14:paraId="0A0361EF">
      <w:pPr>
        <w:pStyle w:val="8"/>
        <w:rPr>
          <w:rFonts w:ascii="黑体" w:hAnsi="黑体" w:eastAsia="黑体" w:cs="黑体"/>
          <w:spacing w:val="8"/>
          <w:sz w:val="31"/>
          <w:szCs w:val="31"/>
        </w:rPr>
      </w:pPr>
    </w:p>
    <w:p w14:paraId="7850A9A7">
      <w:pPr>
        <w:pStyle w:val="8"/>
        <w:rPr>
          <w:rFonts w:ascii="黑体" w:hAnsi="黑体" w:eastAsia="黑体" w:cs="黑体"/>
          <w:spacing w:val="8"/>
          <w:sz w:val="31"/>
          <w:szCs w:val="31"/>
        </w:rPr>
      </w:pPr>
    </w:p>
    <w:p w14:paraId="5903DD38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2659DE94">
      <w:pPr>
        <w:spacing w:before="248" w:line="362" w:lineRule="auto"/>
        <w:ind w:left="23" w:right="86" w:firstLine="648"/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577.10万元</w:t>
      </w:r>
      <w:r>
        <w:rPr>
          <w:rFonts w:ascii="仿宋" w:hAnsi="仿宋" w:eastAsia="仿宋" w:cs="仿宋"/>
          <w:spacing w:val="5"/>
          <w:sz w:val="31"/>
          <w:szCs w:val="31"/>
        </w:rPr>
        <w:t>，与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相比，财政拨款收、支总计各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减少515.22</w:t>
      </w:r>
      <w:r>
        <w:rPr>
          <w:rFonts w:ascii="仿宋" w:hAnsi="仿宋" w:eastAsia="仿宋" w:cs="仿宋"/>
          <w:spacing w:val="-9"/>
          <w:sz w:val="31"/>
          <w:szCs w:val="31"/>
        </w:rPr>
        <w:t>万元，降</w:t>
      </w:r>
      <w:r>
        <w:rPr>
          <w:rFonts w:ascii="仿宋" w:hAnsi="仿宋" w:eastAsia="仿宋" w:cs="仿宋"/>
          <w:spacing w:val="-1"/>
          <w:sz w:val="31"/>
          <w:szCs w:val="31"/>
        </w:rPr>
        <w:t>低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50.49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:</w:t>
      </w:r>
      <w:r>
        <w:rPr>
          <w:rFonts w:ascii="宋体" w:hAnsi="宋体" w:eastAsia="宋体" w:cs="宋体"/>
          <w:spacing w:val="-10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0"/>
          <w:sz w:val="31"/>
          <w:szCs w:val="31"/>
        </w:rPr>
        <w:t>我单位将残联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本级和</w:t>
      </w:r>
      <w:r>
        <w:rPr>
          <w:rFonts w:hint="eastAsia" w:ascii="仿宋" w:hAnsi="仿宋" w:eastAsia="仿宋" w:cs="仿宋"/>
          <w:spacing w:val="-10"/>
          <w:sz w:val="31"/>
          <w:szCs w:val="31"/>
        </w:rPr>
        <w:t>服务中心分离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导致与上年度相比</w:t>
      </w:r>
      <w:r>
        <w:rPr>
          <w:rFonts w:hint="eastAsia" w:ascii="仿宋" w:hAnsi="仿宋" w:eastAsia="仿宋" w:cs="仿宋"/>
          <w:spacing w:val="-10"/>
          <w:sz w:val="31"/>
          <w:szCs w:val="31"/>
        </w:rPr>
        <w:t>数据变化较大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。</w:t>
      </w:r>
    </w:p>
    <w:p w14:paraId="21695BAF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681E68B8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一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）一般公共预算财政拨款支出决算总体情况</w:t>
      </w:r>
    </w:p>
    <w:p w14:paraId="2645C2C8">
      <w:pPr>
        <w:spacing w:before="248" w:line="362" w:lineRule="auto"/>
        <w:ind w:left="23" w:right="86" w:firstLine="648"/>
        <w:rPr>
          <w:rFonts w:ascii="仿宋" w:hAnsi="仿宋" w:eastAsia="仿宋" w:cs="仿宋"/>
          <w:spacing w:val="-9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2</w:t>
      </w:r>
      <w:r>
        <w:rPr>
          <w:rFonts w:ascii="仿宋" w:hAnsi="仿宋" w:eastAsia="仿宋" w:cs="仿宋"/>
          <w:spacing w:val="-9"/>
          <w:sz w:val="31"/>
          <w:szCs w:val="31"/>
        </w:rPr>
        <w:t>023年度一般公共预算财政拨款支出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911.83</w:t>
      </w:r>
      <w:r>
        <w:rPr>
          <w:rFonts w:ascii="仿宋" w:hAnsi="仿宋" w:eastAsia="仿宋" w:cs="仿宋"/>
          <w:spacing w:val="-9"/>
          <w:sz w:val="31"/>
          <w:szCs w:val="31"/>
        </w:rPr>
        <w:t>万元，占本年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支</w:t>
      </w:r>
      <w:r>
        <w:rPr>
          <w:rFonts w:ascii="仿宋" w:hAnsi="仿宋" w:eastAsia="仿宋" w:cs="仿宋"/>
          <w:spacing w:val="-9"/>
          <w:sz w:val="31"/>
          <w:szCs w:val="31"/>
        </w:rPr>
        <w:t>出合计的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 xml:space="preserve">89.46 </w:t>
      </w:r>
      <w:r>
        <w:rPr>
          <w:rFonts w:ascii="仿宋" w:hAnsi="仿宋" w:eastAsia="仿宋" w:cs="仿宋"/>
          <w:spacing w:val="-9"/>
          <w:sz w:val="31"/>
          <w:szCs w:val="31"/>
        </w:rPr>
        <w:t>%。与2022年度相比，一般公共预算财政拨款支出减少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96.39</w:t>
      </w:r>
      <w:r>
        <w:rPr>
          <w:rFonts w:ascii="仿宋" w:hAnsi="仿宋" w:eastAsia="仿宋" w:cs="仿宋"/>
          <w:spacing w:val="-9"/>
          <w:sz w:val="31"/>
          <w:szCs w:val="31"/>
        </w:rPr>
        <w:t>万元，降低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 xml:space="preserve">9.56 </w:t>
      </w:r>
      <w:r>
        <w:rPr>
          <w:rFonts w:ascii="仿宋" w:hAnsi="仿宋" w:eastAsia="仿宋" w:cs="仿宋"/>
          <w:spacing w:val="-9"/>
          <w:sz w:val="31"/>
          <w:szCs w:val="31"/>
        </w:rPr>
        <w:t>%。主要原因：</w:t>
      </w:r>
      <w:r>
        <w:rPr>
          <w:rFonts w:hint="eastAsia" w:ascii="仿宋" w:hAnsi="仿宋" w:eastAsia="仿宋" w:cs="仿宋"/>
          <w:spacing w:val="-10"/>
          <w:sz w:val="31"/>
          <w:szCs w:val="31"/>
        </w:rPr>
        <w:t>人员经费和公用经费压缩支出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。</w:t>
      </w:r>
    </w:p>
    <w:p w14:paraId="321D8D70">
      <w:pPr>
        <w:spacing w:before="51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（二）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一般公共预算财政拨款支出决算结构情况</w:t>
      </w:r>
    </w:p>
    <w:p w14:paraId="06D64B79">
      <w:pPr>
        <w:spacing w:before="251" w:line="364" w:lineRule="auto"/>
        <w:ind w:left="68" w:right="7" w:firstLine="603"/>
        <w:jc w:val="both"/>
        <w:rPr>
          <w:rFonts w:hint="eastAsia" w:ascii="仿宋" w:hAnsi="仿宋" w:eastAsia="宋体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911.83</w:t>
      </w:r>
      <w:r>
        <w:rPr>
          <w:rFonts w:ascii="仿宋" w:hAnsi="仿宋" w:eastAsia="仿宋" w:cs="仿宋"/>
          <w:spacing w:val="4"/>
          <w:sz w:val="31"/>
          <w:szCs w:val="31"/>
        </w:rPr>
        <w:t>万元，主要用于</w:t>
      </w:r>
      <w:r>
        <w:rPr>
          <w:rFonts w:ascii="仿宋" w:hAnsi="仿宋" w:eastAsia="仿宋" w:cs="仿宋"/>
          <w:spacing w:val="-6"/>
          <w:sz w:val="31"/>
          <w:szCs w:val="31"/>
        </w:rPr>
        <w:t>以下方面：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社会保障和就业支出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878.24</w:t>
      </w:r>
      <w:r>
        <w:rPr>
          <w:rFonts w:ascii="仿宋" w:hAnsi="仿宋" w:eastAsia="仿宋" w:cs="仿宋"/>
          <w:spacing w:val="-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96.32</w:t>
      </w:r>
      <w:r>
        <w:rPr>
          <w:rFonts w:ascii="宋体" w:hAnsi="宋体" w:eastAsia="宋体" w:cs="宋体"/>
          <w:spacing w:val="-6"/>
          <w:sz w:val="31"/>
          <w:szCs w:val="31"/>
        </w:rPr>
        <w:t>%</w:t>
      </w:r>
      <w:r>
        <w:rPr>
          <w:rFonts w:ascii="仿宋" w:hAnsi="仿宋" w:eastAsia="仿宋" w:cs="仿宋"/>
          <w:spacing w:val="-6"/>
          <w:sz w:val="31"/>
          <w:szCs w:val="31"/>
        </w:rPr>
        <w:t>；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住房保障</w:t>
      </w:r>
      <w:r>
        <w:rPr>
          <w:rFonts w:ascii="仿宋" w:hAnsi="仿宋" w:eastAsia="仿宋" w:cs="仿宋"/>
          <w:spacing w:val="-6"/>
          <w:sz w:val="31"/>
          <w:szCs w:val="31"/>
        </w:rPr>
        <w:t>支出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33.59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pacing w:val="3"/>
          <w:sz w:val="31"/>
          <w:szCs w:val="31"/>
        </w:rPr>
        <w:t>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3.68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hint="eastAsia" w:ascii="宋体" w:hAnsi="宋体" w:eastAsia="宋体" w:cs="宋体"/>
          <w:spacing w:val="3"/>
          <w:sz w:val="31"/>
          <w:szCs w:val="31"/>
          <w:lang w:eastAsia="zh-CN"/>
        </w:rPr>
        <w:t>。</w:t>
      </w:r>
    </w:p>
    <w:p w14:paraId="75B57A1F">
      <w:pPr>
        <w:spacing w:before="52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（三）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一般公共预算财政拨款支出决算具体情况</w:t>
      </w:r>
    </w:p>
    <w:p w14:paraId="7631FCAB">
      <w:pPr>
        <w:spacing w:before="248" w:line="357" w:lineRule="auto"/>
        <w:ind w:left="38" w:right="86" w:firstLine="633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年度一般公共预算财政拨款支出年初预算为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875.61</w:t>
      </w:r>
      <w:r>
        <w:rPr>
          <w:rFonts w:ascii="仿宋" w:hAnsi="仿宋" w:eastAsia="仿宋" w:cs="仿宋"/>
          <w:spacing w:val="12"/>
          <w:sz w:val="31"/>
          <w:szCs w:val="31"/>
        </w:rPr>
        <w:t>万</w:t>
      </w:r>
      <w:r>
        <w:rPr>
          <w:rFonts w:ascii="仿宋" w:hAnsi="仿宋" w:eastAsia="仿宋" w:cs="仿宋"/>
          <w:spacing w:val="4"/>
          <w:sz w:val="31"/>
          <w:szCs w:val="31"/>
        </w:rPr>
        <w:t>元，支出决算为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911.84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104.14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。其中：</w:t>
      </w:r>
    </w:p>
    <w:p w14:paraId="3E073742">
      <w:pPr>
        <w:spacing w:before="54" w:line="361" w:lineRule="auto"/>
        <w:ind w:left="30" w:firstLine="660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宋体" w:hAnsi="宋体" w:eastAsia="宋体" w:cs="宋体"/>
          <w:spacing w:val="-12"/>
          <w:sz w:val="31"/>
          <w:szCs w:val="31"/>
        </w:rPr>
        <w:t>1.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社会保障和就业支出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。</w:t>
      </w:r>
      <w:r>
        <w:rPr>
          <w:rFonts w:ascii="仿宋" w:hAnsi="仿宋" w:eastAsia="仿宋" w:cs="仿宋"/>
          <w:spacing w:val="20"/>
          <w:sz w:val="31"/>
          <w:szCs w:val="31"/>
        </w:rPr>
        <w:t>年初预算为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875.61</w:t>
      </w:r>
      <w:r>
        <w:rPr>
          <w:rFonts w:ascii="仿宋" w:hAnsi="仿宋" w:eastAsia="仿宋" w:cs="仿宋"/>
          <w:spacing w:val="20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878.25</w:t>
      </w:r>
      <w:r>
        <w:rPr>
          <w:rFonts w:ascii="仿宋" w:hAnsi="仿宋" w:eastAsia="仿宋" w:cs="仿宋"/>
          <w:spacing w:val="20"/>
          <w:sz w:val="31"/>
          <w:szCs w:val="31"/>
        </w:rPr>
        <w:t>万元，完成年初预算</w:t>
      </w:r>
      <w:r>
        <w:rPr>
          <w:rFonts w:ascii="仿宋" w:hAnsi="仿宋" w:eastAsia="仿宋" w:cs="仿宋"/>
          <w:spacing w:val="4"/>
          <w:sz w:val="31"/>
          <w:szCs w:val="31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100.30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。决算数大于预算数的主要原因是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</w:rPr>
        <w:t>残疾人补贴项目按照实际申请人数发放，实际发生金额超出预算金额，所以超出年初预算金额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40C91F1B">
      <w:pPr>
        <w:spacing w:before="52" w:line="322" w:lineRule="auto"/>
        <w:ind w:left="34" w:right="98" w:firstLine="636"/>
      </w:pPr>
      <w:r>
        <w:rPr>
          <w:rFonts w:ascii="宋体" w:hAnsi="宋体" w:eastAsia="宋体" w:cs="宋体"/>
          <w:spacing w:val="3"/>
          <w:sz w:val="31"/>
          <w:szCs w:val="31"/>
        </w:rPr>
        <w:t>2.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住房保障支出</w:t>
      </w:r>
      <w:r>
        <w:rPr>
          <w:rFonts w:ascii="仿宋" w:hAnsi="仿宋" w:eastAsia="仿宋" w:cs="仿宋"/>
          <w:spacing w:val="3"/>
          <w:sz w:val="31"/>
          <w:szCs w:val="31"/>
        </w:rPr>
        <w:t>。年初预算为</w:t>
      </w:r>
      <w:r>
        <w:rPr>
          <w:rFonts w:hint="eastAsia" w:ascii="仿宋" w:hAnsi="仿宋" w:eastAsia="仿宋" w:cs="仿宋"/>
          <w:spacing w:val="30"/>
          <w:sz w:val="31"/>
          <w:szCs w:val="31"/>
          <w:lang w:val="en-US" w:eastAsia="zh-CN"/>
        </w:rPr>
        <w:t>24.00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33.59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139.96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。决算数大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于预算数的主要原因是</w:t>
      </w:r>
      <w:r>
        <w:rPr>
          <w:rFonts w:ascii="仿宋" w:hAnsi="仿宋" w:eastAsia="仿宋" w:cs="仿宋"/>
          <w:spacing w:val="-99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"/>
          <w:sz w:val="31"/>
          <w:szCs w:val="31"/>
        </w:rPr>
        <w:t>有人员调入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441A09D9">
      <w:pPr>
        <w:spacing w:before="101" w:line="224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六、一般公共预算财政拨款基本支出决算情况说明</w:t>
      </w:r>
    </w:p>
    <w:p w14:paraId="2CAA5F02">
      <w:pPr>
        <w:spacing w:before="247" w:line="357" w:lineRule="auto"/>
        <w:ind w:left="64" w:right="96" w:firstLine="607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398.10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pacing w:val="-30"/>
          <w:sz w:val="31"/>
          <w:szCs w:val="31"/>
        </w:rPr>
        <w:t>中：</w:t>
      </w:r>
    </w:p>
    <w:p w14:paraId="5EF27AFC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人员经费</w:t>
      </w:r>
      <w:r>
        <w:rPr>
          <w:rFonts w:hint="eastAsia" w:ascii="仿宋" w:hAnsi="仿宋" w:eastAsia="仿宋" w:cs="仿宋"/>
          <w:b/>
          <w:bCs/>
          <w:spacing w:val="7"/>
          <w:sz w:val="31"/>
          <w:szCs w:val="31"/>
          <w:lang w:val="en-US" w:eastAsia="zh-CN"/>
        </w:rPr>
        <w:t>274.65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7"/>
          <w:sz w:val="31"/>
          <w:szCs w:val="31"/>
        </w:rPr>
        <w:t>，主要包括：基本工资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62.58万元</w:t>
      </w:r>
      <w:r>
        <w:rPr>
          <w:rFonts w:ascii="仿宋" w:hAnsi="仿宋" w:eastAsia="仿宋" w:cs="仿宋"/>
          <w:spacing w:val="7"/>
          <w:sz w:val="31"/>
          <w:szCs w:val="31"/>
        </w:rPr>
        <w:t>、津贴补贴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24.00万元</w:t>
      </w:r>
      <w:r>
        <w:rPr>
          <w:rFonts w:ascii="仿宋" w:hAnsi="仿宋" w:eastAsia="仿宋" w:cs="仿宋"/>
          <w:spacing w:val="7"/>
          <w:sz w:val="31"/>
          <w:szCs w:val="31"/>
        </w:rPr>
        <w:t>、奖</w:t>
      </w:r>
      <w:r>
        <w:rPr>
          <w:rFonts w:ascii="仿宋" w:hAnsi="仿宋" w:eastAsia="仿宋" w:cs="仿宋"/>
          <w:spacing w:val="9"/>
          <w:sz w:val="31"/>
          <w:szCs w:val="31"/>
        </w:rPr>
        <w:t>金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58.71万元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绩效工资11.16万元、</w:t>
      </w:r>
      <w:r>
        <w:rPr>
          <w:rFonts w:ascii="仿宋" w:hAnsi="仿宋" w:eastAsia="仿宋" w:cs="仿宋"/>
          <w:spacing w:val="9"/>
          <w:sz w:val="31"/>
          <w:szCs w:val="31"/>
        </w:rPr>
        <w:t>机关事业单位基</w:t>
      </w:r>
      <w:r>
        <w:rPr>
          <w:rFonts w:ascii="仿宋" w:hAnsi="仿宋" w:eastAsia="仿宋" w:cs="仿宋"/>
          <w:spacing w:val="8"/>
          <w:sz w:val="31"/>
          <w:szCs w:val="31"/>
        </w:rPr>
        <w:t>本养老保险缴</w:t>
      </w:r>
      <w:r>
        <w:rPr>
          <w:rFonts w:ascii="仿宋" w:hAnsi="仿宋" w:eastAsia="仿宋" w:cs="仿宋"/>
          <w:spacing w:val="9"/>
          <w:sz w:val="31"/>
          <w:szCs w:val="31"/>
        </w:rPr>
        <w:t>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31.02万元</w:t>
      </w:r>
      <w:r>
        <w:rPr>
          <w:rFonts w:ascii="仿宋" w:hAnsi="仿宋" w:eastAsia="仿宋" w:cs="仿宋"/>
          <w:spacing w:val="9"/>
          <w:sz w:val="31"/>
          <w:szCs w:val="31"/>
        </w:rPr>
        <w:t>、职业年金缴费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5.03万元</w:t>
      </w:r>
      <w:r>
        <w:rPr>
          <w:rFonts w:ascii="仿宋" w:hAnsi="仿宋" w:eastAsia="仿宋" w:cs="仿宋"/>
          <w:spacing w:val="9"/>
          <w:sz w:val="31"/>
          <w:szCs w:val="31"/>
        </w:rPr>
        <w:t>、职工基本医疗保险缴费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10.17万元</w:t>
      </w:r>
      <w:r>
        <w:rPr>
          <w:rFonts w:ascii="仿宋" w:hAnsi="仿宋" w:eastAsia="仿宋" w:cs="仿宋"/>
          <w:spacing w:val="5"/>
          <w:sz w:val="31"/>
          <w:szCs w:val="31"/>
        </w:rPr>
        <w:t>、其他社会保障缴费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0.49万元</w:t>
      </w:r>
      <w:r>
        <w:rPr>
          <w:rFonts w:ascii="仿宋" w:hAnsi="仿宋" w:eastAsia="仿宋" w:cs="仿宋"/>
          <w:spacing w:val="5"/>
          <w:sz w:val="31"/>
          <w:szCs w:val="31"/>
        </w:rPr>
        <w:t>、住房公积金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33.59万元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、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退休费33.25万元、生活补助3.5万元、奖励金0.3万元、其他对个人和家庭的补助0.84万元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 w14:paraId="6126384E">
      <w:pPr>
        <w:spacing w:before="158" w:line="356" w:lineRule="auto"/>
        <w:ind w:right="161" w:firstLine="650" w:firstLineChars="200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公用经费</w:t>
      </w:r>
      <w:r>
        <w:rPr>
          <w:rFonts w:hint="eastAsia" w:ascii="仿宋" w:hAnsi="仿宋" w:eastAsia="仿宋" w:cs="仿宋"/>
          <w:b/>
          <w:bCs/>
          <w:spacing w:val="7"/>
          <w:sz w:val="31"/>
          <w:szCs w:val="31"/>
          <w:lang w:val="en-US" w:eastAsia="zh-CN"/>
        </w:rPr>
        <w:t>123.45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，主要包括：办公费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7.91万元</w:t>
      </w:r>
      <w:r>
        <w:rPr>
          <w:rFonts w:ascii="仿宋" w:hAnsi="仿宋" w:eastAsia="仿宋" w:cs="仿宋"/>
          <w:spacing w:val="-1"/>
          <w:sz w:val="31"/>
          <w:szCs w:val="31"/>
        </w:rPr>
        <w:t>、咨询费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2.9万元</w:t>
      </w:r>
      <w:r>
        <w:rPr>
          <w:rFonts w:ascii="仿宋" w:hAnsi="仿宋" w:eastAsia="仿宋" w:cs="仿宋"/>
          <w:spacing w:val="-1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水费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0.34万元</w:t>
      </w:r>
      <w:r>
        <w:rPr>
          <w:rFonts w:ascii="仿宋" w:hAnsi="仿宋" w:eastAsia="仿宋" w:cs="仿宋"/>
          <w:spacing w:val="9"/>
          <w:sz w:val="31"/>
          <w:szCs w:val="31"/>
        </w:rPr>
        <w:t>、电费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2.69万元</w:t>
      </w:r>
      <w:r>
        <w:rPr>
          <w:rFonts w:ascii="仿宋" w:hAnsi="仿宋" w:eastAsia="仿宋" w:cs="仿宋"/>
          <w:spacing w:val="9"/>
          <w:sz w:val="31"/>
          <w:szCs w:val="31"/>
        </w:rPr>
        <w:t>、邮电费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4.70万元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取暖费5.36万元、</w:t>
      </w:r>
      <w:r>
        <w:rPr>
          <w:rFonts w:ascii="仿宋" w:hAnsi="仿宋" w:eastAsia="仿宋" w:cs="仿宋"/>
          <w:sz w:val="31"/>
          <w:szCs w:val="31"/>
        </w:rPr>
        <w:t>维修（护）费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0.98万元</w:t>
      </w:r>
      <w:r>
        <w:rPr>
          <w:rFonts w:ascii="仿宋" w:hAnsi="仿宋" w:eastAsia="仿宋" w:cs="仿宋"/>
          <w:sz w:val="31"/>
          <w:szCs w:val="31"/>
        </w:rPr>
        <w:t>、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培训费0.03万元、</w:t>
      </w:r>
      <w:r>
        <w:rPr>
          <w:rFonts w:ascii="仿宋" w:hAnsi="仿宋" w:eastAsia="仿宋" w:cs="仿宋"/>
          <w:spacing w:val="9"/>
          <w:sz w:val="31"/>
          <w:szCs w:val="31"/>
        </w:rPr>
        <w:t>劳务费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69.75万元</w:t>
      </w:r>
      <w:r>
        <w:rPr>
          <w:rFonts w:ascii="仿宋" w:hAnsi="仿宋" w:eastAsia="仿宋" w:cs="仿宋"/>
          <w:spacing w:val="9"/>
          <w:sz w:val="31"/>
          <w:szCs w:val="31"/>
        </w:rPr>
        <w:t>、委托业务费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13.59万元</w:t>
      </w:r>
      <w:r>
        <w:rPr>
          <w:rFonts w:ascii="仿宋" w:hAnsi="仿宋" w:eastAsia="仿宋" w:cs="仿宋"/>
          <w:spacing w:val="9"/>
          <w:sz w:val="31"/>
          <w:szCs w:val="31"/>
        </w:rPr>
        <w:t>、工会经费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1.8万元</w:t>
      </w:r>
      <w:r>
        <w:rPr>
          <w:rFonts w:ascii="仿宋" w:hAnsi="仿宋" w:eastAsia="仿宋" w:cs="仿宋"/>
          <w:spacing w:val="9"/>
          <w:sz w:val="31"/>
          <w:szCs w:val="31"/>
        </w:rPr>
        <w:t>、公</w:t>
      </w:r>
      <w:r>
        <w:rPr>
          <w:rFonts w:ascii="仿宋" w:hAnsi="仿宋" w:eastAsia="仿宋" w:cs="仿宋"/>
          <w:spacing w:val="8"/>
          <w:sz w:val="31"/>
          <w:szCs w:val="31"/>
        </w:rPr>
        <w:t>务用车运</w:t>
      </w:r>
      <w:r>
        <w:rPr>
          <w:rFonts w:ascii="仿宋" w:hAnsi="仿宋" w:eastAsia="仿宋" w:cs="仿宋"/>
          <w:spacing w:val="9"/>
          <w:sz w:val="31"/>
          <w:szCs w:val="31"/>
        </w:rPr>
        <w:t>行维护费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2.32万元</w:t>
      </w:r>
      <w:r>
        <w:rPr>
          <w:rFonts w:ascii="仿宋" w:hAnsi="仿宋" w:eastAsia="仿宋" w:cs="仿宋"/>
          <w:spacing w:val="9"/>
          <w:sz w:val="31"/>
          <w:szCs w:val="31"/>
        </w:rPr>
        <w:t>、其他交通费用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10.58万元</w:t>
      </w:r>
      <w:r>
        <w:rPr>
          <w:rFonts w:ascii="仿宋" w:hAnsi="仿宋" w:eastAsia="仿宋" w:cs="仿宋"/>
          <w:spacing w:val="9"/>
          <w:sz w:val="31"/>
          <w:szCs w:val="31"/>
        </w:rPr>
        <w:t>、其</w:t>
      </w:r>
      <w:r>
        <w:rPr>
          <w:rFonts w:ascii="仿宋" w:hAnsi="仿宋" w:eastAsia="仿宋" w:cs="仿宋"/>
          <w:spacing w:val="8"/>
          <w:sz w:val="31"/>
          <w:szCs w:val="31"/>
        </w:rPr>
        <w:t>他商品和服</w:t>
      </w:r>
      <w:r>
        <w:rPr>
          <w:rFonts w:ascii="仿宋" w:hAnsi="仿宋" w:eastAsia="仿宋" w:cs="仿宋"/>
          <w:spacing w:val="9"/>
          <w:sz w:val="31"/>
          <w:szCs w:val="31"/>
        </w:rPr>
        <w:t>务支出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0.51万元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。</w:t>
      </w:r>
    </w:p>
    <w:p w14:paraId="57CC8AC3">
      <w:pPr>
        <w:spacing w:before="158" w:line="356" w:lineRule="auto"/>
        <w:ind w:right="161" w:firstLine="656" w:firstLineChars="200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</w:p>
    <w:p w14:paraId="65E6D57A">
      <w:pPr>
        <w:spacing w:before="158" w:line="356" w:lineRule="auto"/>
        <w:ind w:right="161" w:firstLine="656" w:firstLineChars="200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  <w:bookmarkStart w:id="0" w:name="_GoBack"/>
      <w:bookmarkEnd w:id="0"/>
    </w:p>
    <w:p w14:paraId="2AC894E4">
      <w:pPr>
        <w:spacing w:before="101" w:line="224" w:lineRule="auto"/>
        <w:ind w:left="50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2EFCBB6B">
      <w:pPr>
        <w:spacing w:before="246" w:line="366" w:lineRule="auto"/>
        <w:ind w:left="38" w:firstLine="47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3"/>
          <w:sz w:val="31"/>
          <w:szCs w:val="31"/>
        </w:rPr>
        <w:t>2023</w:t>
      </w:r>
      <w:r>
        <w:rPr>
          <w:rFonts w:ascii="仿宋" w:hAnsi="仿宋" w:eastAsia="仿宋" w:cs="仿宋"/>
          <w:spacing w:val="33"/>
          <w:sz w:val="31"/>
          <w:szCs w:val="31"/>
        </w:rPr>
        <w:t>年度政府性基金预算财政拨款年初结转和结余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万元；本年收入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84.66</w:t>
      </w:r>
      <w:r>
        <w:rPr>
          <w:rFonts w:ascii="仿宋" w:hAnsi="仿宋" w:eastAsia="仿宋" w:cs="仿宋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0.56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，增长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0.01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>，主要是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省级和中央拨款</w:t>
      </w:r>
      <w:r>
        <w:rPr>
          <w:rFonts w:ascii="仿宋" w:hAnsi="仿宋" w:eastAsia="仿宋" w:cs="仿宋"/>
          <w:spacing w:val="3"/>
          <w:sz w:val="31"/>
          <w:szCs w:val="31"/>
        </w:rPr>
        <w:t>；本年支出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84.66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比上年增加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0.56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0.01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，主要是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省级和中央拨款</w:t>
      </w:r>
      <w:r>
        <w:rPr>
          <w:rFonts w:ascii="仿宋" w:hAnsi="仿宋" w:eastAsia="仿宋" w:cs="仿宋"/>
          <w:spacing w:val="4"/>
          <w:sz w:val="31"/>
          <w:szCs w:val="31"/>
        </w:rPr>
        <w:t>；年末结转和结余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</w:t>
      </w:r>
      <w:r>
        <w:rPr>
          <w:rFonts w:ascii="仿宋" w:hAnsi="仿宋" w:eastAsia="仿宋" w:cs="仿宋"/>
          <w:spacing w:val="1"/>
          <w:sz w:val="31"/>
          <w:szCs w:val="31"/>
        </w:rPr>
        <w:t>元。支出具体情况如下：</w:t>
      </w:r>
    </w:p>
    <w:p w14:paraId="017004DC">
      <w:pPr>
        <w:spacing w:before="246" w:line="366" w:lineRule="auto"/>
        <w:ind w:firstLine="624" w:firstLineChars="200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1.其他支出</w:t>
      </w:r>
      <w:r>
        <w:rPr>
          <w:rFonts w:ascii="仿宋" w:hAnsi="仿宋" w:eastAsia="仿宋" w:cs="仿宋"/>
          <w:spacing w:val="1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1"/>
          <w:sz w:val="31"/>
          <w:szCs w:val="31"/>
        </w:rPr>
        <w:t>彩票公益金安排的支出</w:t>
      </w:r>
      <w:r>
        <w:rPr>
          <w:rFonts w:ascii="仿宋" w:hAnsi="仿宋" w:eastAsia="仿宋" w:cs="仿宋"/>
          <w:spacing w:val="1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1"/>
          <w:sz w:val="31"/>
          <w:szCs w:val="31"/>
        </w:rPr>
        <w:t>用于残疾人事业的彩票公益金支出</w:t>
      </w:r>
      <w:r>
        <w:rPr>
          <w:rFonts w:ascii="仿宋" w:hAnsi="仿宋" w:eastAsia="仿宋" w:cs="仿宋"/>
          <w:spacing w:val="1"/>
          <w:sz w:val="31"/>
          <w:szCs w:val="31"/>
        </w:rPr>
        <w:t>（项）。政府性基金财政拨款支出为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84.66</w:t>
      </w:r>
      <w:r>
        <w:rPr>
          <w:rFonts w:ascii="仿宋" w:hAnsi="仿宋" w:eastAsia="仿宋" w:cs="仿宋"/>
          <w:spacing w:val="1"/>
          <w:sz w:val="31"/>
          <w:szCs w:val="31"/>
        </w:rPr>
        <w:t>万元，主要用于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残疾人事业支出</w:t>
      </w:r>
      <w:r>
        <w:rPr>
          <w:rFonts w:ascii="仿宋" w:hAnsi="仿宋" w:eastAsia="仿宋" w:cs="仿宋"/>
          <w:spacing w:val="1"/>
          <w:sz w:val="31"/>
          <w:szCs w:val="31"/>
        </w:rPr>
        <w:t>。完成年初预算的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100</w:t>
      </w:r>
      <w:r>
        <w:rPr>
          <w:rFonts w:ascii="仿宋" w:hAnsi="仿宋" w:eastAsia="仿宋" w:cs="仿宋"/>
          <w:spacing w:val="1"/>
          <w:sz w:val="31"/>
          <w:szCs w:val="31"/>
        </w:rPr>
        <w:t>%。</w:t>
      </w:r>
    </w:p>
    <w:p w14:paraId="06FC9429">
      <w:pPr>
        <w:numPr>
          <w:ilvl w:val="0"/>
          <w:numId w:val="0"/>
        </w:numPr>
        <w:spacing w:before="158" w:line="224" w:lineRule="auto"/>
        <w:ind w:firstLine="648" w:firstLineChars="20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八、国有资本经营预算财政拨款支出决算情况说明</w:t>
      </w:r>
    </w:p>
    <w:p w14:paraId="4524E076">
      <w:pPr>
        <w:pStyle w:val="8"/>
      </w:pPr>
    </w:p>
    <w:p w14:paraId="721927B1">
      <w:pPr>
        <w:pStyle w:val="2"/>
        <w:spacing w:line="256" w:lineRule="auto"/>
        <w:ind w:firstLine="640" w:firstLineChars="200"/>
        <w:rPr>
          <w:rFonts w:hint="eastAsia" w:eastAsia="仿宋"/>
          <w:lang w:eastAsia="zh-CN"/>
        </w:rPr>
      </w:pPr>
      <w:r>
        <w:rPr>
          <w:rFonts w:hint="eastAsia" w:ascii="仿宋" w:hAnsi="仿宋" w:eastAsia="仿宋"/>
          <w:sz w:val="32"/>
          <w:szCs w:val="30"/>
        </w:rPr>
        <w:t>202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0"/>
        </w:rPr>
        <w:t>年度</w:t>
      </w:r>
      <w:r>
        <w:rPr>
          <w:rFonts w:hint="eastAsia" w:ascii="仿宋" w:hAnsi="仿宋" w:eastAsia="仿宋"/>
          <w:sz w:val="32"/>
          <w:szCs w:val="30"/>
          <w:lang w:eastAsia="zh-CN"/>
        </w:rPr>
        <w:t>我部门</w:t>
      </w:r>
      <w:r>
        <w:rPr>
          <w:rFonts w:hint="eastAsia" w:ascii="仿宋" w:hAnsi="仿宋" w:eastAsia="仿宋"/>
          <w:sz w:val="32"/>
          <w:szCs w:val="30"/>
        </w:rPr>
        <w:t>无国有资本经营预算财政拨款支出</w:t>
      </w:r>
      <w:r>
        <w:rPr>
          <w:rFonts w:hint="eastAsia" w:ascii="仿宋" w:hAnsi="仿宋" w:eastAsia="仿宋"/>
          <w:sz w:val="32"/>
          <w:szCs w:val="30"/>
          <w:lang w:eastAsia="zh-CN"/>
        </w:rPr>
        <w:t>。</w:t>
      </w:r>
    </w:p>
    <w:p w14:paraId="101373C8">
      <w:pPr>
        <w:pStyle w:val="2"/>
        <w:spacing w:line="256" w:lineRule="auto"/>
      </w:pPr>
    </w:p>
    <w:p w14:paraId="3FA86BA7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7C93E27E">
      <w:pPr>
        <w:spacing w:before="249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一）“三公”经费财政拨款支出决算总体情况说明</w:t>
      </w:r>
    </w:p>
    <w:p w14:paraId="6E1541B5">
      <w:pPr>
        <w:spacing w:before="156" w:line="362" w:lineRule="auto"/>
        <w:ind w:left="41" w:firstLine="670" w:firstLineChars="21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年度“三公”经费财政拨款支出预算为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2.40</w:t>
      </w:r>
      <w:r>
        <w:rPr>
          <w:rFonts w:ascii="仿宋" w:hAnsi="仿宋" w:eastAsia="仿宋" w:cs="仿宋"/>
          <w:spacing w:val="4"/>
          <w:sz w:val="31"/>
          <w:szCs w:val="31"/>
        </w:rPr>
        <w:t>万元，支</w:t>
      </w:r>
      <w:r>
        <w:rPr>
          <w:rFonts w:ascii="仿宋" w:hAnsi="仿宋" w:eastAsia="仿宋" w:cs="仿宋"/>
          <w:spacing w:val="-1"/>
          <w:sz w:val="31"/>
          <w:szCs w:val="31"/>
        </w:rPr>
        <w:t>出决算为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2.32</w:t>
      </w:r>
      <w:r>
        <w:rPr>
          <w:rFonts w:ascii="仿宋" w:hAnsi="仿宋" w:eastAsia="仿宋" w:cs="仿宋"/>
          <w:spacing w:val="-1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96.67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；较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2022</w:t>
      </w:r>
      <w:r>
        <w:rPr>
          <w:rFonts w:ascii="宋体" w:hAnsi="宋体" w:eastAsia="宋体" w:cs="宋体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0.90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63.38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，主要原因是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公务用车</w:t>
      </w:r>
      <w:r>
        <w:rPr>
          <w:rFonts w:hint="eastAsia" w:ascii="仿宋" w:hAnsi="仿宋" w:eastAsia="仿宋" w:cs="仿宋"/>
          <w:spacing w:val="-1"/>
          <w:sz w:val="31"/>
          <w:szCs w:val="31"/>
        </w:rPr>
        <w:t>加油费，本年油卡没有剩余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  <w:r>
        <w:rPr>
          <w:rFonts w:ascii="仿宋" w:hAnsi="仿宋" w:eastAsia="仿宋" w:cs="仿宋"/>
          <w:spacing w:val="4"/>
          <w:sz w:val="31"/>
          <w:szCs w:val="31"/>
        </w:rPr>
        <w:t>决算数大</w:t>
      </w:r>
      <w:r>
        <w:rPr>
          <w:rFonts w:ascii="仿宋" w:hAnsi="仿宋" w:eastAsia="仿宋" w:cs="仿宋"/>
          <w:spacing w:val="-3"/>
          <w:sz w:val="31"/>
          <w:szCs w:val="31"/>
        </w:rPr>
        <w:t>于预算数的主要原因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2022年疫情封闭，车辆外出减少，2023年恢复正常，车辆外出次数增加，耗油量增加。</w:t>
      </w:r>
    </w:p>
    <w:p w14:paraId="3AB9F026">
      <w:pPr>
        <w:spacing w:before="249" w:line="223" w:lineRule="auto"/>
        <w:ind w:left="659"/>
        <w:rPr>
          <w:rFonts w:ascii="仿宋" w:hAnsi="仿宋" w:eastAsia="仿宋" w:cs="仿宋"/>
          <w:spacing w:val="5"/>
          <w:sz w:val="31"/>
          <w:szCs w:val="31"/>
        </w:rPr>
      </w:pP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二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5"/>
          <w:sz w:val="31"/>
          <w:szCs w:val="31"/>
        </w:rPr>
        <w:t>“三公”经费财政拨款支出决算具体情况说明</w:t>
      </w:r>
    </w:p>
    <w:p w14:paraId="325FFB0F">
      <w:pPr>
        <w:spacing w:before="57" w:line="364" w:lineRule="auto"/>
        <w:ind w:left="23" w:right="156" w:firstLine="648"/>
        <w:rPr>
          <w:rFonts w:ascii="仿宋" w:hAnsi="仿宋" w:eastAsia="仿宋" w:cs="仿宋"/>
          <w:sz w:val="31"/>
          <w:szCs w:val="31"/>
        </w:rPr>
      </w:pPr>
      <w:r>
        <w:rPr>
          <w:rFonts w:hint="eastAsia" w:ascii="宋体" w:hAnsi="宋体" w:eastAsia="宋体" w:cs="宋体"/>
          <w:spacing w:val="21"/>
          <w:sz w:val="31"/>
          <w:szCs w:val="31"/>
          <w:lang w:val="en-US" w:eastAsia="zh-CN"/>
        </w:rPr>
        <w:t>1</w:t>
      </w:r>
      <w:r>
        <w:rPr>
          <w:rFonts w:ascii="宋体" w:hAnsi="宋体" w:eastAsia="宋体" w:cs="宋体"/>
          <w:spacing w:val="21"/>
          <w:sz w:val="31"/>
          <w:szCs w:val="31"/>
        </w:rPr>
        <w:t>.</w:t>
      </w:r>
      <w:r>
        <w:rPr>
          <w:rFonts w:ascii="仿宋" w:hAnsi="仿宋" w:eastAsia="仿宋" w:cs="仿宋"/>
          <w:spacing w:val="21"/>
          <w:sz w:val="31"/>
          <w:szCs w:val="31"/>
        </w:rPr>
        <w:t>公务用车购置及运行费预算为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>2.00</w:t>
      </w:r>
      <w:r>
        <w:rPr>
          <w:rFonts w:ascii="仿宋" w:hAnsi="仿宋" w:eastAsia="仿宋" w:cs="仿宋"/>
          <w:spacing w:val="21"/>
          <w:sz w:val="31"/>
          <w:szCs w:val="31"/>
        </w:rPr>
        <w:t>万元</w:t>
      </w:r>
      <w:r>
        <w:rPr>
          <w:rFonts w:ascii="仿宋" w:hAnsi="仿宋" w:eastAsia="仿宋" w:cs="仿宋"/>
          <w:spacing w:val="20"/>
          <w:sz w:val="31"/>
          <w:szCs w:val="31"/>
        </w:rPr>
        <w:t>，支出决算为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2.32</w:t>
      </w:r>
      <w:r>
        <w:rPr>
          <w:rFonts w:ascii="仿宋" w:hAnsi="仿宋" w:eastAsia="仿宋" w:cs="仿宋"/>
          <w:spacing w:val="4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116.00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；较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宋体" w:hAnsi="宋体" w:eastAsia="宋体" w:cs="宋体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0.90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6"/>
          <w:sz w:val="31"/>
          <w:szCs w:val="31"/>
        </w:rPr>
        <w:t>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63.12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，主要原因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公务用车</w:t>
      </w:r>
      <w:r>
        <w:rPr>
          <w:rFonts w:hint="eastAsia" w:ascii="仿宋" w:hAnsi="仿宋" w:eastAsia="仿宋" w:cs="仿宋"/>
          <w:spacing w:val="-1"/>
          <w:sz w:val="31"/>
          <w:szCs w:val="31"/>
        </w:rPr>
        <w:t>加油费，本年油卡没有剩余</w:t>
      </w:r>
      <w:r>
        <w:rPr>
          <w:rFonts w:ascii="仿宋" w:hAnsi="仿宋" w:eastAsia="仿宋" w:cs="仿宋"/>
          <w:spacing w:val="6"/>
          <w:sz w:val="31"/>
          <w:szCs w:val="31"/>
        </w:rPr>
        <w:t>。决算数大于预算数</w:t>
      </w:r>
      <w:r>
        <w:rPr>
          <w:rFonts w:ascii="仿宋" w:hAnsi="仿宋" w:eastAsia="仿宋" w:cs="仿宋"/>
          <w:spacing w:val="-9"/>
          <w:sz w:val="31"/>
          <w:szCs w:val="31"/>
        </w:rPr>
        <w:t>的主要原</w:t>
      </w:r>
      <w:r>
        <w:rPr>
          <w:rFonts w:ascii="仿宋" w:hAnsi="仿宋" w:eastAsia="仿宋" w:cs="仿宋"/>
          <w:spacing w:val="6"/>
          <w:sz w:val="31"/>
          <w:szCs w:val="31"/>
        </w:rPr>
        <w:t>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2022年疫情封闭，车辆外出减少，2023年恢复正常，车辆外出次数增加，耗油量增加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  <w:r>
        <w:rPr>
          <w:rFonts w:ascii="仿宋" w:hAnsi="仿宋" w:eastAsia="仿宋" w:cs="仿宋"/>
          <w:spacing w:val="-9"/>
          <w:sz w:val="31"/>
          <w:szCs w:val="31"/>
        </w:rPr>
        <w:t>其中：</w:t>
      </w:r>
    </w:p>
    <w:p w14:paraId="00F35A78">
      <w:pPr>
        <w:spacing w:before="57" w:line="364" w:lineRule="auto"/>
        <w:ind w:left="23" w:right="156" w:firstLine="648"/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务用车运行维护费支出2.32万元，主要是检车费0.01万元，车辆保险费0.28万元，油卡充值费1.00万元，公务车维修维护费1.01万元。</w:t>
      </w:r>
    </w:p>
    <w:p w14:paraId="7AFFF921">
      <w:pPr>
        <w:spacing w:before="57" w:line="364" w:lineRule="auto"/>
        <w:ind w:left="23" w:right="156" w:firstLine="648"/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3"/>
          <w:sz w:val="31"/>
          <w:szCs w:val="31"/>
          <w:lang w:val="en-US" w:eastAsia="zh-CN"/>
        </w:rPr>
        <w:t>截至 202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3"/>
          <w:sz w:val="31"/>
          <w:szCs w:val="31"/>
          <w:lang w:val="en-US" w:eastAsia="zh-CN"/>
        </w:rPr>
        <w:t xml:space="preserve"> 年 12 月 31 日，开支财政拨款的公务用车保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有量为 1 辆,公务用车购置数为 0 辆。</w:t>
      </w:r>
    </w:p>
    <w:p w14:paraId="2502B0DC">
      <w:pPr>
        <w:spacing w:before="101" w:line="224" w:lineRule="auto"/>
        <w:ind w:left="750"/>
        <w:outlineLvl w:val="3"/>
        <w:rPr>
          <w:rFonts w:ascii="黑体" w:hAnsi="黑体" w:eastAsia="黑体" w:cs="黑体"/>
          <w:sz w:val="31"/>
          <w:szCs w:val="31"/>
          <w:highlight w:val="none"/>
        </w:rPr>
      </w:pPr>
      <w:r>
        <w:rPr>
          <w:rFonts w:ascii="黑体" w:hAnsi="黑体" w:eastAsia="黑体" w:cs="黑体"/>
          <w:spacing w:val="6"/>
          <w:sz w:val="31"/>
          <w:szCs w:val="31"/>
          <w:highlight w:val="none"/>
        </w:rPr>
        <w:t>十、关于</w:t>
      </w:r>
      <w:r>
        <w:rPr>
          <w:rFonts w:ascii="黑体" w:hAnsi="黑体" w:eastAsia="黑体" w:cs="黑体"/>
          <w:spacing w:val="-52"/>
          <w:sz w:val="31"/>
          <w:szCs w:val="31"/>
          <w:highlight w:val="none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  <w:highlight w:val="none"/>
        </w:rPr>
        <w:t>2023</w:t>
      </w:r>
      <w:r>
        <w:rPr>
          <w:rFonts w:ascii="黑体" w:hAnsi="黑体" w:eastAsia="黑体" w:cs="黑体"/>
          <w:spacing w:val="-63"/>
          <w:sz w:val="31"/>
          <w:szCs w:val="31"/>
          <w:highlight w:val="none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  <w:highlight w:val="none"/>
        </w:rPr>
        <w:t>年度绩效评价情况说明</w:t>
      </w:r>
    </w:p>
    <w:p w14:paraId="4396BAE9">
      <w:pPr>
        <w:spacing w:before="249" w:line="353" w:lineRule="auto"/>
        <w:ind w:left="23" w:right="3" w:firstLine="636"/>
        <w:rPr>
          <w:rFonts w:ascii="仿宋" w:hAnsi="仿宋" w:eastAsia="仿宋" w:cs="仿宋"/>
          <w:color w:val="000000" w:themeColor="text1"/>
          <w:sz w:val="31"/>
          <w:szCs w:val="3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（</w:t>
      </w:r>
      <w:r>
        <w:rPr>
          <w:rFonts w:ascii="仿宋" w:hAnsi="仿宋" w:eastAsia="仿宋" w:cs="仿宋"/>
          <w:spacing w:val="-59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:highlight w:val="none"/>
        </w:rPr>
        <w:t>一）绩效评价工作开展情况。绩效评价工作开展情况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 xml:space="preserve">说明为：根据预算绩效管理要求，本部门组织对 </w:t>
      </w:r>
      <w:r>
        <w:rPr>
          <w:rFonts w:ascii="宋体" w:hAnsi="宋体" w:eastAsia="宋体" w:cs="宋体"/>
          <w:spacing w:val="8"/>
          <w:sz w:val="31"/>
          <w:szCs w:val="31"/>
          <w:highlight w:val="none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年度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一般公共预算项目支出全面开展绩效自评，其中，一级项目</w:t>
      </w:r>
      <w:r>
        <w:rPr>
          <w:rFonts w:ascii="仿宋" w:hAnsi="仿宋" w:eastAsia="仿宋" w:cs="仿宋"/>
          <w:sz w:val="31"/>
          <w:szCs w:val="31"/>
          <w:highlight w:val="none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highlight w:val="none"/>
          <w:lang w:val="en-US" w:eastAsia="zh-CN"/>
        </w:rPr>
        <w:t>5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 xml:space="preserve">个，二级项目 </w:t>
      </w:r>
      <w:r>
        <w:rPr>
          <w:rFonts w:hint="eastAsia" w:ascii="宋体" w:hAnsi="宋体" w:eastAsia="宋体" w:cs="宋体"/>
          <w:sz w:val="31"/>
          <w:szCs w:val="31"/>
          <w:highlight w:val="none"/>
          <w:lang w:val="en-US" w:eastAsia="zh-CN"/>
        </w:rPr>
        <w:t>7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个，共</w:t>
      </w: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涉及资金</w:t>
      </w:r>
      <w:r>
        <w:rPr>
          <w:rFonts w:hint="eastAsia" w:ascii="仿宋" w:hAnsi="仿宋" w:eastAsia="仿宋" w:cs="仿宋"/>
          <w:spacing w:val="9"/>
          <w:sz w:val="31"/>
          <w:szCs w:val="31"/>
          <w:highlight w:val="none"/>
          <w:lang w:val="en-US" w:eastAsia="zh-CN"/>
        </w:rPr>
        <w:t>311.5</w:t>
      </w: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万元</w:t>
      </w:r>
      <w:r>
        <w:rPr>
          <w:rFonts w:ascii="仿宋" w:hAnsi="仿宋" w:eastAsia="仿宋" w:cs="仿宋"/>
          <w:color w:val="000000" w:themeColor="text1"/>
          <w:spacing w:val="9"/>
          <w:sz w:val="31"/>
          <w:szCs w:val="31"/>
          <w:highlight w:val="none"/>
          <w14:textFill>
            <w14:solidFill>
              <w14:schemeClr w14:val="tx1"/>
            </w14:solidFill>
          </w14:textFill>
        </w:rPr>
        <w:t>，占一般公共预算项目支出总额的</w:t>
      </w:r>
      <w:r>
        <w:rPr>
          <w:rFonts w:hint="eastAsia" w:ascii="仿宋" w:hAnsi="仿宋" w:eastAsia="仿宋" w:cs="仿宋"/>
          <w:color w:val="000000" w:themeColor="text1"/>
          <w:spacing w:val="9"/>
          <w:sz w:val="31"/>
          <w:szCs w:val="31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60.61</w:t>
      </w:r>
      <w:r>
        <w:rPr>
          <w:rFonts w:ascii="仿宋" w:hAnsi="仿宋" w:eastAsia="仿宋" w:cs="仿宋"/>
          <w:color w:val="000000" w:themeColor="text1"/>
          <w:spacing w:val="9"/>
          <w:sz w:val="31"/>
          <w:szCs w:val="31"/>
          <w:highlight w:val="none"/>
          <w14:textFill>
            <w14:solidFill>
              <w14:schemeClr w14:val="tx1"/>
            </w14:solidFill>
          </w14:textFill>
        </w:rPr>
        <w:t>%。</w:t>
      </w:r>
    </w:p>
    <w:p w14:paraId="54102335">
      <w:pPr>
        <w:spacing w:before="252" w:line="364" w:lineRule="auto"/>
        <w:ind w:left="23" w:right="102" w:firstLine="648"/>
        <w:jc w:val="both"/>
        <w:rPr>
          <w:rFonts w:hint="eastAsia" w:ascii="仿宋" w:hAnsi="仿宋" w:eastAsia="仿宋" w:cs="仿宋"/>
          <w:spacing w:val="10"/>
          <w:sz w:val="31"/>
          <w:szCs w:val="31"/>
          <w:highlight w:val="none"/>
          <w:lang w:eastAsia="zh-CN"/>
        </w:rPr>
      </w:pPr>
      <w:r>
        <w:rPr>
          <w:rFonts w:ascii="仿宋" w:hAnsi="仿宋" w:eastAsia="仿宋" w:cs="仿宋"/>
          <w:spacing w:val="10"/>
          <w:sz w:val="31"/>
          <w:szCs w:val="31"/>
          <w:highlight w:val="none"/>
        </w:rPr>
        <w:t>组织对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“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残疾人康复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”“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其他残疾人事务</w:t>
      </w:r>
      <w:r>
        <w:rPr>
          <w:rFonts w:ascii="仿宋" w:hAnsi="仿宋" w:eastAsia="仿宋" w:cs="仿宋"/>
          <w:spacing w:val="1"/>
          <w:sz w:val="31"/>
          <w:szCs w:val="31"/>
          <w:highlight w:val="none"/>
        </w:rPr>
        <w:t>”</w:t>
      </w:r>
      <w:r>
        <w:rPr>
          <w:rFonts w:ascii="仿宋" w:hAnsi="仿宋" w:eastAsia="仿宋" w:cs="仿宋"/>
          <w:spacing w:val="10"/>
          <w:sz w:val="31"/>
          <w:szCs w:val="31"/>
          <w:highlight w:val="none"/>
        </w:rPr>
        <w:t>“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</w:rPr>
        <w:t>教育、扶贫和社会保障</w:t>
      </w:r>
      <w:r>
        <w:rPr>
          <w:rFonts w:ascii="仿宋" w:hAnsi="仿宋" w:eastAsia="仿宋" w:cs="仿宋"/>
          <w:spacing w:val="10"/>
          <w:sz w:val="31"/>
          <w:szCs w:val="31"/>
          <w:highlight w:val="none"/>
        </w:rPr>
        <w:t>”“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</w:rPr>
        <w:t>残疾人就业和培训</w:t>
      </w:r>
      <w:r>
        <w:rPr>
          <w:rFonts w:ascii="仿宋" w:hAnsi="仿宋" w:eastAsia="仿宋" w:cs="仿宋"/>
          <w:spacing w:val="10"/>
          <w:sz w:val="31"/>
          <w:szCs w:val="31"/>
          <w:highlight w:val="none"/>
        </w:rPr>
        <w:t>”等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  <w:lang w:val="en-US" w:eastAsia="zh-CN"/>
        </w:rPr>
        <w:t>4</w:t>
      </w:r>
      <w:r>
        <w:rPr>
          <w:rFonts w:ascii="仿宋" w:hAnsi="仿宋" w:eastAsia="仿宋" w:cs="仿宋"/>
          <w:spacing w:val="10"/>
          <w:sz w:val="31"/>
          <w:szCs w:val="31"/>
          <w:highlight w:val="none"/>
        </w:rPr>
        <w:t>个项目开展了部门绩效评</w:t>
      </w: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价，涉及一般公共预算支出</w:t>
      </w:r>
      <w:r>
        <w:rPr>
          <w:rFonts w:hint="eastAsia" w:ascii="仿宋" w:hAnsi="仿宋" w:eastAsia="仿宋" w:cs="仿宋"/>
          <w:spacing w:val="9"/>
          <w:sz w:val="31"/>
          <w:szCs w:val="31"/>
          <w:highlight w:val="none"/>
          <w:lang w:val="en-US" w:eastAsia="zh-CN"/>
        </w:rPr>
        <w:t>294.80</w:t>
      </w: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万元</w:t>
      </w:r>
      <w:r>
        <w:rPr>
          <w:rFonts w:hint="eastAsia" w:ascii="仿宋" w:hAnsi="仿宋" w:eastAsia="仿宋" w:cs="仿宋"/>
          <w:spacing w:val="9"/>
          <w:sz w:val="31"/>
          <w:szCs w:val="31"/>
          <w:highlight w:val="none"/>
          <w:lang w:eastAsia="zh-CN"/>
        </w:rPr>
        <w:t>。</w:t>
      </w:r>
      <w:r>
        <w:rPr>
          <w:rFonts w:ascii="仿宋" w:hAnsi="仿宋" w:eastAsia="仿宋" w:cs="仿宋"/>
          <w:spacing w:val="14"/>
          <w:sz w:val="31"/>
          <w:szCs w:val="31"/>
          <w:highlight w:val="none"/>
        </w:rPr>
        <w:t>从评价情况来</w:t>
      </w:r>
      <w:r>
        <w:rPr>
          <w:rFonts w:ascii="仿宋" w:hAnsi="仿宋" w:eastAsia="仿宋" w:cs="仿宋"/>
          <w:spacing w:val="2"/>
          <w:sz w:val="31"/>
          <w:szCs w:val="31"/>
          <w:highlight w:val="none"/>
        </w:rPr>
        <w:t>看，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残疾人康复项目严格按照省、市残联以及区政府的要求执行发放，资金使用规范，无任何违规操作。资金执行率达到100%，该项目自评结果为良，得分为85.8分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</w:rPr>
        <w:t>为残疾人学生及残疾人子女申请助学金，开展残疾人托养服务工作，落实“三无一靠”成年重度残疾人护理补贴，区级扩大残疾人受益面，把重度视力残疾人、听力残疾人、言语残疾人划入补贴范围内，实现“全覆盖、无死角</w:t>
      </w:r>
      <w:r>
        <w:rPr>
          <w:rFonts w:hint="eastAsia" w:ascii="仿宋" w:hAnsi="仿宋" w:eastAsia="仿宋" w:cs="仿宋"/>
          <w:spacing w:val="10"/>
          <w:sz w:val="31"/>
          <w:szCs w:val="31"/>
          <w:highlight w:val="none"/>
          <w:lang w:eastAsia="zh-CN"/>
        </w:rPr>
        <w:t>；扶持辅助性就业机构，安置精神、智力和肢体重度残疾人，新建辅助性就业基地，带动残疾人就业。</w:t>
      </w:r>
    </w:p>
    <w:p w14:paraId="123B11AC">
      <w:pPr>
        <w:spacing w:before="253" w:line="356" w:lineRule="auto"/>
        <w:ind w:left="36" w:right="22" w:firstLine="622"/>
        <w:rPr>
          <w:rFonts w:ascii="宋体" w:hAnsi="宋体" w:eastAsia="宋体" w:cs="宋体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（二）</w:t>
      </w:r>
      <w:r>
        <w:rPr>
          <w:rFonts w:ascii="仿宋" w:hAnsi="仿宋" w:eastAsia="仿宋" w:cs="仿宋"/>
          <w:spacing w:val="-63"/>
          <w:sz w:val="31"/>
          <w:szCs w:val="31"/>
          <w:highlight w:val="none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项目绩效自评结果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</w:t>
      </w:r>
    </w:p>
    <w:p w14:paraId="11555655">
      <w:pPr>
        <w:spacing w:before="49" w:line="366" w:lineRule="auto"/>
        <w:ind w:left="21" w:right="107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残疾人康复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85.8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分。项目全年预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算数为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120.14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万元，执行 数为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120.14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100</w:t>
      </w:r>
      <w:r>
        <w:rPr>
          <w:rFonts w:ascii="宋体" w:hAnsi="宋体" w:eastAsia="宋体" w:cs="宋体"/>
          <w:spacing w:val="8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项目绩效完成情况一是完成肢体居家康复项目400人；二是完成盲人、低视力定向训练33人；三是辅助器具用具发放459人；四是残疾儿童救助101人；五是定向培训合格率为100%；六是残疾人救助及时；七是残疾人康复能力有所提升。</w:t>
      </w:r>
    </w:p>
    <w:p w14:paraId="0955D92A">
      <w:pPr>
        <w:spacing w:before="49" w:line="366" w:lineRule="auto"/>
        <w:ind w:left="21" w:right="107" w:firstLine="641"/>
      </w:pP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其他残疾人事务项目绩效自评情况：根据年初设定的绩效目标，项目绩效自评得分为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  <w:lang w:val="en-US" w:eastAsia="zh-CN"/>
        </w:rPr>
        <w:t>85.63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分。项目全年预算数为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  <w:lang w:val="en-US" w:eastAsia="zh-CN"/>
        </w:rPr>
        <w:t>32.32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万元，执行数为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  <w:lang w:val="en-US" w:eastAsia="zh-CN"/>
        </w:rPr>
        <w:t>32.32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</w:rPr>
        <w:t>%。</w:t>
      </w:r>
      <w:r>
        <w:rPr>
          <w:rFonts w:hint="eastAsia" w:ascii="仿宋" w:hAnsi="仿宋" w:eastAsia="仿宋" w:cs="仿宋"/>
          <w:spacing w:val="1"/>
          <w:sz w:val="31"/>
          <w:szCs w:val="31"/>
          <w:highlight w:val="none"/>
          <w:lang w:val="en-US" w:eastAsia="zh-CN"/>
        </w:rPr>
        <w:t>项目绩效目标完成情况一是全年免费评残鉴定510人；二是开展文体活动10次；三是发放燃油补贴72人；四是残疾人家庭无障碍改造790户；五是残疾人家庭无障碍改造的合格率100%；六是及时发放补贴；七是及时对残疾人基本需求进行调查；八是提升残疾人使用残疾证的便利性。</w:t>
      </w:r>
    </w:p>
    <w:p w14:paraId="2FBF1D40">
      <w:pPr>
        <w:spacing w:before="49" w:line="366" w:lineRule="auto"/>
        <w:ind w:left="21" w:right="107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spacing w:val="10"/>
          <w:sz w:val="31"/>
          <w:szCs w:val="31"/>
          <w:highlight w:val="none"/>
        </w:rPr>
        <w:t>教育、扶贫和社会保障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87.31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分。项目全年预算数为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133.98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万元，执行数为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101.94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76.09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项目绩效完成情况一是为6人发放残疾人驾驶技能补贴；二是为602人提供电子保姆残疾人托养补贴服务；三是为240人发放“三无一靠”成年重度残疾人生活补贴；四是补贴发放合规；五是提升残疾人就业能力。</w:t>
      </w:r>
    </w:p>
    <w:p w14:paraId="69B51827">
      <w:pPr>
        <w:spacing w:before="49" w:line="366" w:lineRule="auto"/>
        <w:ind w:left="21" w:right="107" w:firstLine="641"/>
        <w:rPr>
          <w:rFonts w:hint="eastAsia" w:ascii="仿宋" w:hAnsi="仿宋" w:eastAsia="仿宋" w:cs="仿宋"/>
          <w:spacing w:val="-3"/>
          <w:sz w:val="31"/>
          <w:szCs w:val="3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highlight w:val="none"/>
        </w:rPr>
        <w:t>残疾人就业和培训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项</w:t>
      </w:r>
      <w:r>
        <w:rPr>
          <w:rFonts w:ascii="仿宋" w:hAnsi="仿宋" w:eastAsia="仿宋" w:cs="仿宋"/>
          <w:spacing w:val="-3"/>
          <w:sz w:val="31"/>
          <w:szCs w:val="31"/>
          <w:highlight w:val="none"/>
        </w:rPr>
        <w:t>目绩效自评情况：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根据年初设定的绩效目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98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分。项目全年预算数为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40.40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万元，执行数为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40.40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-3"/>
          <w:sz w:val="31"/>
          <w:szCs w:val="31"/>
          <w:highlight w:val="none"/>
        </w:rPr>
        <w:t>。</w:t>
      </w:r>
      <w:r>
        <w:rPr>
          <w:rFonts w:hint="eastAsia" w:ascii="仿宋" w:hAnsi="仿宋" w:eastAsia="仿宋" w:cs="仿宋"/>
          <w:spacing w:val="-3"/>
          <w:sz w:val="31"/>
          <w:szCs w:val="31"/>
          <w:highlight w:val="none"/>
          <w:lang w:val="en-US" w:eastAsia="zh-CN"/>
        </w:rPr>
        <w:t>项目绩效完成情况一是残疾人职业技能培训315人次；二是超比例安排残疾人就业单位172个；三是辅助性就业基地4个；四是及时发放补贴；五是提升残疾人就业能力；六是残疾人群体满意残疾人职业技能培训。</w:t>
      </w:r>
    </w:p>
    <w:p w14:paraId="056A491B">
      <w:pPr>
        <w:spacing w:before="100" w:line="224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十一、其他重要事项情况说明</w:t>
      </w:r>
    </w:p>
    <w:p w14:paraId="610F7B3A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一）机关运行经费执行情况说明</w:t>
      </w:r>
    </w:p>
    <w:p w14:paraId="60C48725">
      <w:pPr>
        <w:spacing w:before="251" w:line="357" w:lineRule="auto"/>
        <w:ind w:left="19" w:right="170" w:firstLine="652"/>
        <w:rPr>
          <w:rFonts w:ascii="仿宋" w:hAnsi="仿宋" w:eastAsia="仿宋" w:cs="仿宋"/>
          <w:spacing w:val="7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102.03</w:t>
      </w:r>
      <w:r>
        <w:rPr>
          <w:rFonts w:ascii="仿宋" w:hAnsi="仿宋" w:eastAsia="仿宋" w:cs="仿宋"/>
          <w:spacing w:val="7"/>
          <w:sz w:val="31"/>
          <w:szCs w:val="31"/>
        </w:rPr>
        <w:t>万元，较</w:t>
      </w:r>
      <w:r>
        <w:rPr>
          <w:rFonts w:ascii="宋体" w:hAnsi="宋体" w:eastAsia="宋体" w:cs="宋体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7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14"/>
          <w:sz w:val="31"/>
          <w:szCs w:val="31"/>
          <w:lang w:val="en-US" w:eastAsia="zh-CN"/>
        </w:rPr>
        <w:t>72.33</w:t>
      </w:r>
      <w:r>
        <w:rPr>
          <w:rFonts w:ascii="仿宋" w:hAnsi="仿宋" w:eastAsia="仿宋" w:cs="仿宋"/>
          <w:spacing w:val="-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243.56</w:t>
      </w:r>
      <w:r>
        <w:rPr>
          <w:rFonts w:ascii="宋体" w:hAnsi="宋体" w:eastAsia="宋体" w:cs="宋体"/>
          <w:spacing w:val="-4"/>
          <w:sz w:val="31"/>
          <w:szCs w:val="31"/>
        </w:rPr>
        <w:t>%</w:t>
      </w:r>
      <w:r>
        <w:rPr>
          <w:rFonts w:ascii="仿宋" w:hAnsi="仿宋" w:eastAsia="仿宋" w:cs="仿宋"/>
          <w:spacing w:val="-4"/>
          <w:sz w:val="31"/>
          <w:szCs w:val="31"/>
        </w:rPr>
        <w:t>，主要</w:t>
      </w:r>
      <w:r>
        <w:rPr>
          <w:rFonts w:ascii="仿宋" w:hAnsi="仿宋" w:eastAsia="仿宋" w:cs="仿宋"/>
          <w:spacing w:val="7"/>
          <w:sz w:val="31"/>
          <w:szCs w:val="31"/>
        </w:rPr>
        <w:t>是</w:t>
      </w:r>
      <w:r>
        <w:rPr>
          <w:rFonts w:hint="eastAsia" w:ascii="仿宋" w:hAnsi="仿宋" w:eastAsia="仿宋" w:cs="仿宋"/>
          <w:spacing w:val="7"/>
          <w:sz w:val="31"/>
          <w:szCs w:val="31"/>
        </w:rPr>
        <w:t>长聘人员经费、邮电费等做到了公用经费中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；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2022年受疫情影响，单位支出减少，2023年恢复正常，机关运行经费增加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 w14:paraId="1E3B96DB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294AD286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2023</w:t>
      </w:r>
      <w:r>
        <w:rPr>
          <w:rFonts w:ascii="仿宋" w:hAnsi="仿宋" w:eastAsia="仿宋" w:cs="仿宋"/>
          <w:spacing w:val="8"/>
          <w:sz w:val="31"/>
          <w:szCs w:val="31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</w:rPr>
        <w:t>其中：政府采购货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物支出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万元、政府采购工程支出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万元、政府采购服务支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万元。授予中小企业合同金额</w:t>
      </w:r>
      <w:r>
        <w:rPr>
          <w:rFonts w:hint="eastAsia" w:ascii="仿宋" w:hAnsi="仿宋" w:eastAsia="仿宋" w:cs="仿宋"/>
          <w:spacing w:val="2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万元，占政府采购支出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5"/>
          <w:sz w:val="31"/>
          <w:szCs w:val="31"/>
        </w:rPr>
        <w:t>%</w:t>
      </w:r>
      <w:r>
        <w:rPr>
          <w:rFonts w:ascii="仿宋" w:hAnsi="仿宋" w:eastAsia="仿宋" w:cs="仿宋"/>
          <w:spacing w:val="5"/>
          <w:sz w:val="31"/>
          <w:szCs w:val="31"/>
        </w:rPr>
        <w:t>，其中：授予小微企业合同金额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万元，占授予中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，工程采购授予中小企业合同金额占工程支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。。</w:t>
      </w:r>
    </w:p>
    <w:p w14:paraId="5686EE78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（三）国有资产占用情况说明</w:t>
      </w:r>
    </w:p>
    <w:p w14:paraId="75C8FFF4">
      <w:pPr>
        <w:spacing w:before="286" w:line="340" w:lineRule="auto"/>
        <w:ind w:left="2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2023</w:t>
      </w:r>
      <w:r>
        <w:rPr>
          <w:rFonts w:ascii="宋体" w:hAnsi="宋体" w:eastAsia="宋体" w:cs="宋体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宋体" w:hAnsi="宋体" w:eastAsia="宋体" w:cs="宋体"/>
          <w:sz w:val="31"/>
          <w:szCs w:val="31"/>
        </w:rPr>
        <w:t xml:space="preserve">12 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 xml:space="preserve">31 </w:t>
      </w:r>
      <w:r>
        <w:rPr>
          <w:rFonts w:ascii="仿宋" w:hAnsi="仿宋" w:eastAsia="仿宋" w:cs="仿宋"/>
          <w:sz w:val="31"/>
          <w:szCs w:val="31"/>
        </w:rPr>
        <w:t>日，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长春市南关区残疾人联合会（汇总）</w:t>
      </w:r>
      <w:r>
        <w:rPr>
          <w:rFonts w:ascii="仿宋" w:hAnsi="仿宋" w:eastAsia="仿宋" w:cs="仿宋"/>
          <w:spacing w:val="8"/>
          <w:sz w:val="31"/>
          <w:szCs w:val="31"/>
        </w:rPr>
        <w:t>共有车辆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辆，其中</w:t>
      </w:r>
      <w:r>
        <w:rPr>
          <w:rFonts w:ascii="仿宋" w:hAnsi="仿宋" w:eastAsia="仿宋" w:cs="仿宋"/>
          <w:spacing w:val="7"/>
          <w:sz w:val="31"/>
          <w:szCs w:val="31"/>
        </w:rPr>
        <w:t>，副部（省）级及以上领导用</w:t>
      </w:r>
      <w:r>
        <w:rPr>
          <w:rFonts w:ascii="仿宋" w:hAnsi="仿宋" w:eastAsia="仿宋" w:cs="仿宋"/>
          <w:spacing w:val="8"/>
          <w:sz w:val="31"/>
          <w:szCs w:val="31"/>
        </w:rPr>
        <w:t>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辆、主要负责人用车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辆、机要通信用车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辆、应急保障用车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辆、执法执勤用车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辆、特种专业技术用车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辆、离退休干部用车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辆、其他用车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辆，其他用车主要是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公务用车</w:t>
      </w:r>
      <w:r>
        <w:rPr>
          <w:rFonts w:ascii="仿宋" w:hAnsi="仿宋" w:eastAsia="仿宋" w:cs="仿宋"/>
          <w:spacing w:val="8"/>
          <w:sz w:val="31"/>
          <w:szCs w:val="31"/>
        </w:rPr>
        <w:t>；单位价值 100 万元（含）以上设备（不含车辆）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台（套）。</w:t>
      </w:r>
    </w:p>
    <w:p w14:paraId="0688B90E">
      <w:pPr>
        <w:spacing w:line="340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7" w:h="16839"/>
          <w:pgMar w:top="1431" w:right="1774" w:bottom="1153" w:left="1785" w:header="0" w:footer="965" w:gutter="0"/>
          <w:cols w:space="720" w:num="1"/>
        </w:sectPr>
      </w:pPr>
    </w:p>
    <w:p w14:paraId="1C54274F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656C9799">
      <w:pPr>
        <w:pStyle w:val="2"/>
        <w:spacing w:line="315" w:lineRule="auto"/>
      </w:pPr>
    </w:p>
    <w:p w14:paraId="75478CD4">
      <w:pPr>
        <w:pStyle w:val="2"/>
        <w:spacing w:line="315" w:lineRule="auto"/>
      </w:pPr>
    </w:p>
    <w:p w14:paraId="2AAF5D7A">
      <w:pPr>
        <w:pStyle w:val="2"/>
        <w:spacing w:line="315" w:lineRule="auto"/>
      </w:pPr>
    </w:p>
    <w:p w14:paraId="2AFBD179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32102C5B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29C315B0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7C79E337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03523385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24B8C45B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64562E65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700E3962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73A8E6F1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8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AB8E8A9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25A8D6C3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792DB3EB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42FC758B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0702702F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78EF022F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19F7756E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2A408E9E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3C559ED5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3B47DEC2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9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 w14:paraId="6D0C7118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695B2401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0D353D6B">
      <w:pPr>
        <w:spacing w:before="250" w:line="322" w:lineRule="auto"/>
        <w:ind w:left="43" w:right="9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十八、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******</w:t>
      </w:r>
      <w:r>
        <w:rPr>
          <w:rFonts w:ascii="仿宋" w:hAnsi="仿宋" w:eastAsia="仿宋" w:cs="仿宋"/>
          <w:spacing w:val="6"/>
          <w:sz w:val="31"/>
          <w:szCs w:val="31"/>
        </w:rPr>
        <w:t>（对部门使用的所有“项”级政府收支分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类科目，参照《</w:t>
      </w: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年政府收支分类科目》中的科目说明和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中央部门决算公开内容进行说明</w:t>
      </w:r>
      <w:r>
        <w:rPr>
          <w:rFonts w:ascii="仿宋" w:hAnsi="仿宋" w:eastAsia="仿宋" w:cs="仿宋"/>
          <w:spacing w:val="19"/>
          <w:sz w:val="31"/>
          <w:szCs w:val="31"/>
        </w:rPr>
        <w:t>）：</w:t>
      </w:r>
    </w:p>
    <w:p w14:paraId="6FCB0FCF">
      <w:pPr>
        <w:spacing w:before="250" w:line="224" w:lineRule="auto"/>
        <w:ind w:left="6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十九、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…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…（同上）</w:t>
      </w:r>
    </w:p>
    <w:p w14:paraId="1DCBC9A7">
      <w:pPr>
        <w:spacing w:before="249" w:line="355" w:lineRule="auto"/>
        <w:ind w:left="26" w:right="98" w:firstLine="648"/>
        <w:rPr>
          <w:rFonts w:ascii="仿宋" w:hAnsi="仿宋" w:eastAsia="仿宋" w:cs="仿宋"/>
          <w:sz w:val="31"/>
          <w:szCs w:val="31"/>
        </w:rPr>
      </w:pPr>
    </w:p>
    <w:sectPr>
      <w:footerReference r:id="rId20" w:type="default"/>
      <w:pgSz w:w="11907" w:h="16839"/>
      <w:pgMar w:top="1431" w:right="1705" w:bottom="1153" w:left="1785" w:header="0" w:footer="9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A3262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13195">
    <w:pPr>
      <w:spacing w:line="17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12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0FB3D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1D7BB">
    <w:pPr>
      <w:spacing w:line="17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14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11CDE">
    <w:pPr>
      <w:spacing w:line="177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2FE5D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3C3F3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26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CFA87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10EB8">
    <w:pPr>
      <w:spacing w:line="17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880E2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ABB4A">
    <w:pPr>
      <w:spacing w:line="177" w:lineRule="auto"/>
      <w:ind w:left="411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3239E">
    <w:pPr>
      <w:spacing w:line="176" w:lineRule="auto"/>
      <w:ind w:left="4123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5A56E">
    <w:pPr>
      <w:spacing w:line="174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36C4F">
    <w:pPr>
      <w:spacing w:line="176" w:lineRule="auto"/>
      <w:ind w:left="412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8469E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10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99031">
    <w:pPr>
      <w:spacing w:line="177" w:lineRule="auto"/>
      <w:ind w:left="409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8"/>
        <w:sz w:val="21"/>
        <w:szCs w:val="21"/>
      </w:rPr>
      <w:t>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D7E1FA"/>
    <w:multiLevelType w:val="singleLevel"/>
    <w:tmpl w:val="F8D7E1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0144BA"/>
    <w:multiLevelType w:val="singleLevel"/>
    <w:tmpl w:val="F90144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VhNjA0MmFhMjI2ZGE5ODEwMDBlNjdiMjc5OTQwNWMifQ=="/>
  </w:docVars>
  <w:rsids>
    <w:rsidRoot w:val="00000000"/>
    <w:rsid w:val="5B017BD4"/>
    <w:rsid w:val="710A54C2"/>
    <w:rsid w:val="79AA0D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link w:val="6"/>
    <w:semiHidden/>
    <w:qFormat/>
    <w:uiPriority w:val="0"/>
    <w:rPr>
      <w:rFonts w:eastAsia="宋体"/>
      <w:sz w:val="21"/>
      <w:szCs w:val="20"/>
    </w:rPr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 Char"/>
    <w:basedOn w:val="1"/>
    <w:link w:val="5"/>
    <w:qFormat/>
    <w:uiPriority w:val="0"/>
    <w:pPr>
      <w:widowControl/>
      <w:spacing w:after="160" w:line="240" w:lineRule="exact"/>
      <w:jc w:val="left"/>
    </w:pPr>
    <w:rPr>
      <w:rFonts w:eastAsia="宋体"/>
      <w:sz w:val="21"/>
      <w:szCs w:val="20"/>
    </w:rPr>
  </w:style>
  <w:style w:type="character" w:styleId="7">
    <w:name w:val="page number"/>
    <w:basedOn w:val="5"/>
    <w:qFormat/>
    <w:uiPriority w:val="0"/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9">
    <w:name w:val="p0"/>
    <w:basedOn w:val="1"/>
    <w:qFormat/>
    <w:uiPriority w:val="0"/>
    <w:pPr>
      <w:widowControl/>
    </w:pPr>
    <w:rPr>
      <w:rFonts w:eastAsia="宋体"/>
      <w:kern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image" Target="media/image11.png"/><Relationship Id="rId31" Type="http://schemas.openxmlformats.org/officeDocument/2006/relationships/image" Target="media/image10.png"/><Relationship Id="rId30" Type="http://schemas.openxmlformats.org/officeDocument/2006/relationships/image" Target="media/image9.png"/><Relationship Id="rId3" Type="http://schemas.openxmlformats.org/officeDocument/2006/relationships/footnotes" Target="footnotes.xml"/><Relationship Id="rId29" Type="http://schemas.openxmlformats.org/officeDocument/2006/relationships/image" Target="media/image8.png"/><Relationship Id="rId28" Type="http://schemas.openxmlformats.org/officeDocument/2006/relationships/image" Target="media/image7.png"/><Relationship Id="rId27" Type="http://schemas.openxmlformats.org/officeDocument/2006/relationships/image" Target="media/image6.png"/><Relationship Id="rId26" Type="http://schemas.openxmlformats.org/officeDocument/2006/relationships/image" Target="media/image5.png"/><Relationship Id="rId25" Type="http://schemas.openxmlformats.org/officeDocument/2006/relationships/image" Target="media/image4.png"/><Relationship Id="rId24" Type="http://schemas.openxmlformats.org/officeDocument/2006/relationships/image" Target="media/image3.png"/><Relationship Id="rId23" Type="http://schemas.openxmlformats.org/officeDocument/2006/relationships/image" Target="media/image2.png"/><Relationship Id="rId22" Type="http://schemas.openxmlformats.org/officeDocument/2006/relationships/image" Target="media/image1.png"/><Relationship Id="rId21" Type="http://schemas.openxmlformats.org/officeDocument/2006/relationships/theme" Target="theme/theme1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5730</Words>
  <Characters>6369</Characters>
  <Lines>0</Lines>
  <Paragraphs>0</Paragraphs>
  <TotalTime>7</TotalTime>
  <ScaleCrop>false</ScaleCrop>
  <LinksUpToDate>false</LinksUpToDate>
  <CharactersWithSpaces>6514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春城</cp:lastModifiedBy>
  <dcterms:modified xsi:type="dcterms:W3CDTF">2024-09-04T08:28:39Z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2024-08-29T09:33:00Z</vt:filetime>
  </property>
  <property fmtid="{D5CDD505-2E9C-101B-9397-08002B2CF9AE}" pid="4" name="KSOProductBuildVer">
    <vt:lpwstr>2052-12.1.0.17827</vt:lpwstr>
  </property>
  <property fmtid="{D5CDD505-2E9C-101B-9397-08002B2CF9AE}" pid="5" name="ICV">
    <vt:lpwstr>9163707731564315B1CE72E2E900BCAF_12</vt:lpwstr>
  </property>
</Properties>
</file>