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1D2" w:rsidRDefault="00597AB1">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A441D2" w:rsidRDefault="00A441D2">
      <w:pPr>
        <w:pStyle w:val="a3"/>
        <w:spacing w:line="251" w:lineRule="auto"/>
        <w:rPr>
          <w:lang w:eastAsia="zh-CN"/>
        </w:rPr>
      </w:pPr>
    </w:p>
    <w:p w:rsidR="00A441D2" w:rsidRDefault="00A441D2">
      <w:pPr>
        <w:pStyle w:val="a3"/>
        <w:spacing w:line="251"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A441D2">
      <w:pPr>
        <w:pStyle w:val="a3"/>
        <w:spacing w:line="252" w:lineRule="auto"/>
        <w:rPr>
          <w:lang w:eastAsia="zh-CN"/>
        </w:rPr>
      </w:pPr>
    </w:p>
    <w:p w:rsidR="00A441D2" w:rsidRDefault="00597AB1">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A441D2" w:rsidRDefault="00A441D2">
      <w:pPr>
        <w:pStyle w:val="a3"/>
        <w:spacing w:line="477" w:lineRule="auto"/>
        <w:rPr>
          <w:lang w:eastAsia="zh-CN"/>
        </w:rPr>
      </w:pPr>
    </w:p>
    <w:p w:rsidR="00A441D2" w:rsidRDefault="00597AB1" w:rsidP="000D4AD2">
      <w:pPr>
        <w:spacing w:before="189" w:line="181" w:lineRule="auto"/>
        <w:ind w:leftChars="523" w:left="2520" w:hangingChars="300" w:hanging="1422"/>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长春市南关区政务服务和数字化建设管理局</w:t>
      </w:r>
      <w:r>
        <w:rPr>
          <w:rFonts w:ascii="微软雅黑" w:eastAsia="微软雅黑" w:hAnsi="微软雅黑" w:cs="微软雅黑"/>
          <w:spacing w:val="34"/>
          <w:sz w:val="44"/>
          <w:szCs w:val="44"/>
          <w:lang w:eastAsia="zh-CN"/>
        </w:rPr>
        <w:t>部门决算</w:t>
      </w: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2"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A441D2">
      <w:pPr>
        <w:pStyle w:val="a3"/>
        <w:spacing w:line="243" w:lineRule="auto"/>
        <w:rPr>
          <w:lang w:eastAsia="zh-CN"/>
        </w:rPr>
      </w:pPr>
    </w:p>
    <w:p w:rsidR="00A441D2" w:rsidRDefault="00597AB1">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A441D2" w:rsidRDefault="00A441D2">
      <w:pPr>
        <w:spacing w:line="224" w:lineRule="auto"/>
        <w:rPr>
          <w:rFonts w:ascii="仿宋" w:eastAsia="仿宋" w:hAnsi="仿宋" w:cs="仿宋"/>
          <w:sz w:val="31"/>
          <w:szCs w:val="31"/>
          <w:lang w:eastAsia="zh-CN"/>
        </w:rPr>
        <w:sectPr w:rsidR="00A441D2">
          <w:footerReference w:type="default" r:id="rId7"/>
          <w:pgSz w:w="11907" w:h="16839"/>
          <w:pgMar w:top="1431" w:right="1785" w:bottom="1153" w:left="1785" w:header="0" w:footer="965" w:gutter="0"/>
          <w:cols w:space="720"/>
        </w:sectPr>
      </w:pPr>
    </w:p>
    <w:p w:rsidR="00A441D2" w:rsidRDefault="00A441D2">
      <w:pPr>
        <w:pStyle w:val="a3"/>
        <w:spacing w:line="289" w:lineRule="auto"/>
        <w:rPr>
          <w:lang w:eastAsia="zh-CN"/>
        </w:rPr>
      </w:pPr>
    </w:p>
    <w:p w:rsidR="00A441D2" w:rsidRDefault="00A441D2">
      <w:pPr>
        <w:pStyle w:val="a3"/>
        <w:spacing w:line="290" w:lineRule="auto"/>
        <w:rPr>
          <w:lang w:eastAsia="zh-CN"/>
        </w:rPr>
      </w:pPr>
    </w:p>
    <w:p w:rsidR="00A441D2" w:rsidRDefault="00597AB1">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A441D2" w:rsidRDefault="00A441D2">
      <w:pPr>
        <w:pStyle w:val="a3"/>
        <w:spacing w:line="341" w:lineRule="auto"/>
        <w:rPr>
          <w:lang w:eastAsia="zh-CN"/>
        </w:rPr>
      </w:pPr>
    </w:p>
    <w:p w:rsidR="00A441D2" w:rsidRDefault="00A441D2">
      <w:pPr>
        <w:pStyle w:val="a3"/>
        <w:spacing w:line="342" w:lineRule="auto"/>
        <w:rPr>
          <w:lang w:eastAsia="zh-CN"/>
        </w:rPr>
      </w:pPr>
    </w:p>
    <w:p w:rsidR="00A441D2" w:rsidRDefault="00597AB1">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A441D2" w:rsidRDefault="00597AB1">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A441D2" w:rsidRDefault="00597AB1">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A441D2" w:rsidRDefault="00597AB1">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A441D2" w:rsidRDefault="00597AB1">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A441D2" w:rsidRDefault="00597AB1">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A441D2" w:rsidRDefault="00597AB1">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A441D2" w:rsidRDefault="00597AB1">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A441D2" w:rsidRDefault="00597AB1">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A441D2" w:rsidRDefault="00597AB1">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A441D2" w:rsidRDefault="00597AB1">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A441D2" w:rsidRDefault="00597AB1">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A441D2" w:rsidRDefault="00597AB1">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A441D2" w:rsidRDefault="00597AB1">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A441D2" w:rsidRDefault="00597AB1">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A441D2" w:rsidRDefault="00597AB1">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A441D2" w:rsidRDefault="00597AB1">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A441D2" w:rsidRDefault="00597AB1">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A441D2" w:rsidRDefault="00597AB1">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A441D2" w:rsidRDefault="00A441D2">
      <w:pPr>
        <w:spacing w:line="223" w:lineRule="auto"/>
        <w:rPr>
          <w:rFonts w:ascii="仿宋" w:eastAsia="仿宋" w:hAnsi="仿宋" w:cs="仿宋"/>
          <w:sz w:val="31"/>
          <w:szCs w:val="31"/>
          <w:lang w:eastAsia="zh-CN"/>
        </w:rPr>
        <w:sectPr w:rsidR="00A441D2">
          <w:footerReference w:type="default" r:id="rId8"/>
          <w:pgSz w:w="11907" w:h="16839"/>
          <w:pgMar w:top="1431" w:right="1785" w:bottom="1153" w:left="1785" w:header="0" w:footer="965" w:gutter="0"/>
          <w:cols w:space="720"/>
        </w:sectPr>
      </w:pPr>
    </w:p>
    <w:p w:rsidR="00A441D2" w:rsidRDefault="00597AB1">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A441D2" w:rsidRDefault="00597AB1">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A441D2" w:rsidRDefault="00597AB1">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A441D2" w:rsidRDefault="00597AB1">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A441D2" w:rsidRDefault="00597AB1">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A441D2" w:rsidRDefault="00597AB1">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A441D2" w:rsidRDefault="00597AB1">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A441D2" w:rsidRDefault="00597AB1">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A441D2" w:rsidRDefault="00A441D2">
      <w:pPr>
        <w:spacing w:line="224" w:lineRule="auto"/>
        <w:rPr>
          <w:rFonts w:ascii="仿宋" w:eastAsia="仿宋" w:hAnsi="仿宋" w:cs="仿宋"/>
          <w:sz w:val="31"/>
          <w:szCs w:val="31"/>
          <w:lang w:eastAsia="zh-CN"/>
        </w:rPr>
        <w:sectPr w:rsidR="00A441D2">
          <w:footerReference w:type="default" r:id="rId9"/>
          <w:pgSz w:w="11907" w:h="16839"/>
          <w:pgMar w:top="1431" w:right="1785" w:bottom="1153" w:left="1785" w:header="0" w:footer="965" w:gutter="0"/>
          <w:cols w:space="720"/>
        </w:sectPr>
      </w:pPr>
    </w:p>
    <w:p w:rsidR="00A441D2" w:rsidRDefault="00A441D2">
      <w:pPr>
        <w:pStyle w:val="a3"/>
        <w:spacing w:line="328" w:lineRule="auto"/>
        <w:rPr>
          <w:lang w:eastAsia="zh-CN"/>
        </w:rPr>
      </w:pPr>
    </w:p>
    <w:p w:rsidR="00A441D2" w:rsidRDefault="00A441D2">
      <w:pPr>
        <w:pStyle w:val="a3"/>
        <w:spacing w:line="328" w:lineRule="auto"/>
        <w:rPr>
          <w:lang w:eastAsia="zh-CN"/>
        </w:rPr>
      </w:pPr>
    </w:p>
    <w:p w:rsidR="00A441D2" w:rsidRDefault="00597AB1">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A441D2" w:rsidRDefault="00A441D2">
      <w:pPr>
        <w:pStyle w:val="a3"/>
        <w:spacing w:line="314" w:lineRule="auto"/>
        <w:rPr>
          <w:lang w:eastAsia="zh-CN"/>
        </w:rPr>
      </w:pPr>
    </w:p>
    <w:p w:rsidR="00A441D2" w:rsidRDefault="00A441D2">
      <w:pPr>
        <w:pStyle w:val="a3"/>
        <w:spacing w:line="314" w:lineRule="auto"/>
        <w:rPr>
          <w:lang w:eastAsia="zh-CN"/>
        </w:rPr>
      </w:pPr>
    </w:p>
    <w:p w:rsidR="00A441D2" w:rsidRDefault="00A441D2">
      <w:pPr>
        <w:pStyle w:val="a3"/>
        <w:spacing w:line="315" w:lineRule="auto"/>
        <w:rPr>
          <w:lang w:eastAsia="zh-CN"/>
        </w:rPr>
      </w:pPr>
    </w:p>
    <w:p w:rsidR="00A441D2" w:rsidRDefault="00597AB1">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A441D2" w:rsidRDefault="00A441D2">
      <w:pPr>
        <w:pStyle w:val="a3"/>
        <w:spacing w:line="347" w:lineRule="auto"/>
        <w:rPr>
          <w:lang w:eastAsia="zh-CN"/>
        </w:rPr>
      </w:pP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(一)负责全区政务服务和数字化建设管理工作。贯彻执行国家和省、市关于政务服务和数字化建设管理的方针、政策和法律、法规、规章。</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(二)负责区级行政审批事项集中受理办理及公共资源交易监督管理工作，负责进入区政务大厅的行政审批和建设项目、政府采购招投标等业务的管理、协调和监督。指导街道(乡)政务服务机构建设。</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(三)组织协调和指导监督全区政务公开、政府信息公开工作，统筹推进政务公开、政府信息公开和规范运行，完善政务服务平台，推进政务服务网上办理。建立健全政务服务运行、管理和监督制度。</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(四)负责统筹推进全区数字化发展工作。研究拟订全区数字化建设、信息基础设施建设、大数据应用和产业发展战略、发展规划、政策措施和评价体系并组织实施。统筹推进</w:t>
      </w:r>
      <w:r>
        <w:rPr>
          <w:rFonts w:ascii="仿宋" w:eastAsia="仿宋" w:hAnsi="仿宋" w:cs="仿宋" w:hint="eastAsia"/>
          <w:spacing w:val="6"/>
          <w:sz w:val="31"/>
          <w:szCs w:val="31"/>
          <w:lang w:eastAsia="zh-CN"/>
        </w:rPr>
        <w:lastRenderedPageBreak/>
        <w:t>“数字南关”建设。承担“数字南关”建设领导小组日常工作。</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(五)负责统筹大数据资源建设、管理，促进大数据政用、商用、民用;组织协调数据资源归集整合、共享开放;推动社会数据汇聚融合、互联互通;统筹推进大数据信息安全保障体系建设和安全保障工作。</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负责提出大数据、信息化领域固定资产投资方向及规模(含利用外资和境外投资)、中央及省、市支持建设资金安排建议;按照规定权限，负责大数据、信息化固定资产投资项目立项、审批、备案和核准;负责区级有关部门大数据、信息化项目牵头审核工作;拟订区级大数据发展专项资金年度使用计划并组织实施，指导大数据基金的建立和管理。</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负责全区营商环境建设工作。研究提出全区营商环境建设的措施办法，组织相关部门对重大案件进行直接查处，建立营商环境目标责任制和责任追究制并组织实施。协调推动全区社会信用体系建设工作。承办区软环境建设领导小组交办的其他工作。</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(八)承担区行政审批制度改革领导小组的日常工作。</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(九)完成区委、区政府交办的其他任务。</w:t>
      </w:r>
    </w:p>
    <w:p w:rsidR="00A441D2" w:rsidRDefault="00597AB1">
      <w:pPr>
        <w:spacing w:before="25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二、机构设置及部门决算单位构成</w:t>
      </w:r>
    </w:p>
    <w:p w:rsidR="00A441D2" w:rsidRDefault="00A441D2">
      <w:pPr>
        <w:spacing w:before="251" w:line="224" w:lineRule="auto"/>
        <w:ind w:left="672"/>
        <w:rPr>
          <w:rFonts w:ascii="黑体" w:eastAsia="黑体" w:hAnsi="黑体" w:cs="黑体"/>
          <w:spacing w:val="8"/>
          <w:sz w:val="31"/>
          <w:szCs w:val="31"/>
          <w:lang w:eastAsia="zh-CN"/>
        </w:rPr>
      </w:pP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长春市南关区政务服务和数字化建设管理局（部门标准名称）内设2个机构，分别为(一)综合科。负责统筹全区数字化建设，贯彻落实数字化建设管理的相关法规、规章等工作;负责统筹大数据资源建设、管理等工作;负责组织协调和指导监督全区政务公开、政府信息公开工作。(二)政务服务科。负责贯彻执行国家和省、市关于政务服务的方针、政策和法律、法规、规章等工作;负责区级</w:t>
      </w:r>
    </w:p>
    <w:p w:rsidR="00A441D2" w:rsidRDefault="00597AB1">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行政审批事项集中受理办理及公共资源交易监督管理工作;负责街道(乡)政务服务机构建设、业务受理指导及日常运行监督工作;负责全区营商环境建设的指导、协调、督查、考核等工作;负责对软环境投诉举报进行受理，并组织相关部门对重大涉软案件进行查处等工作;负责协调推动全区社会信用体系建设工作。</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纳入长春市南关区政数局 2023年度部门决算编制范围的单位包括：</w:t>
      </w:r>
    </w:p>
    <w:p w:rsidR="00A441D2" w:rsidRDefault="00597AB1" w:rsidP="000D4AD2">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1.长春市南关区政务服务和数字化建设管理局</w:t>
      </w:r>
    </w:p>
    <w:p w:rsidR="00A441D2" w:rsidRDefault="00597AB1" w:rsidP="000D4AD2">
      <w:pPr>
        <w:pStyle w:val="a3"/>
        <w:spacing w:line="446" w:lineRule="auto"/>
        <w:ind w:firstLineChars="200" w:firstLine="632"/>
        <w:rPr>
          <w:lang w:eastAsia="zh-CN"/>
        </w:rPr>
      </w:pPr>
      <w:r>
        <w:rPr>
          <w:rFonts w:ascii="仿宋" w:eastAsia="仿宋" w:hAnsi="仿宋" w:cs="仿宋" w:hint="eastAsia"/>
          <w:spacing w:val="6"/>
          <w:sz w:val="31"/>
          <w:szCs w:val="31"/>
          <w:lang w:eastAsia="zh-CN"/>
        </w:rPr>
        <w:t>2.南关区政务信息中心</w:t>
      </w:r>
    </w:p>
    <w:p w:rsidR="00A441D2" w:rsidRDefault="00A441D2">
      <w:pPr>
        <w:spacing w:before="51" w:line="355" w:lineRule="auto"/>
        <w:ind w:left="30" w:right="16" w:firstLine="1279"/>
        <w:rPr>
          <w:rFonts w:ascii="仿宋" w:eastAsia="仿宋" w:hAnsi="仿宋" w:cs="仿宋"/>
          <w:sz w:val="31"/>
          <w:szCs w:val="31"/>
          <w:lang w:eastAsia="zh-CN"/>
        </w:rPr>
      </w:pPr>
    </w:p>
    <w:p w:rsidR="00A441D2" w:rsidRDefault="00A441D2">
      <w:pPr>
        <w:spacing w:line="355" w:lineRule="auto"/>
        <w:rPr>
          <w:rFonts w:ascii="仿宋" w:eastAsia="仿宋" w:hAnsi="仿宋" w:cs="仿宋"/>
          <w:sz w:val="31"/>
          <w:szCs w:val="31"/>
          <w:lang w:eastAsia="zh-CN"/>
        </w:rPr>
        <w:sectPr w:rsidR="00A441D2">
          <w:footerReference w:type="default" r:id="rId10"/>
          <w:pgSz w:w="11907" w:h="16839"/>
          <w:pgMar w:top="1431" w:right="1785" w:bottom="1153" w:left="1785" w:header="0" w:footer="965" w:gutter="0"/>
          <w:cols w:space="720"/>
        </w:sectPr>
      </w:pPr>
    </w:p>
    <w:p w:rsidR="00A441D2" w:rsidRDefault="00A441D2">
      <w:pPr>
        <w:pStyle w:val="a3"/>
        <w:spacing w:line="328" w:lineRule="auto"/>
        <w:rPr>
          <w:lang w:eastAsia="zh-CN"/>
        </w:rPr>
      </w:pPr>
    </w:p>
    <w:p w:rsidR="00A441D2" w:rsidRDefault="00A441D2">
      <w:pPr>
        <w:pStyle w:val="a3"/>
        <w:spacing w:line="328" w:lineRule="auto"/>
        <w:rPr>
          <w:lang w:eastAsia="zh-CN"/>
        </w:rPr>
      </w:pPr>
    </w:p>
    <w:p w:rsidR="00A441D2" w:rsidRDefault="00597AB1">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A441D2" w:rsidRDefault="00A441D2">
      <w:pPr>
        <w:pStyle w:val="a3"/>
        <w:spacing w:line="268" w:lineRule="auto"/>
        <w:rPr>
          <w:lang w:eastAsia="zh-CN"/>
        </w:rPr>
      </w:pPr>
    </w:p>
    <w:p w:rsidR="00A441D2" w:rsidRDefault="00A441D2">
      <w:pPr>
        <w:pStyle w:val="a3"/>
        <w:spacing w:line="268" w:lineRule="auto"/>
        <w:rPr>
          <w:lang w:eastAsia="zh-CN"/>
        </w:rPr>
      </w:pPr>
    </w:p>
    <w:p w:rsidR="00A441D2" w:rsidRDefault="00A441D2">
      <w:pPr>
        <w:pStyle w:val="a3"/>
        <w:spacing w:line="268" w:lineRule="auto"/>
        <w:rPr>
          <w:lang w:eastAsia="zh-CN"/>
        </w:rPr>
      </w:pPr>
    </w:p>
    <w:p w:rsidR="00A441D2" w:rsidRDefault="00597AB1">
      <w:pPr>
        <w:numPr>
          <w:ilvl w:val="0"/>
          <w:numId w:val="1"/>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A441D2" w:rsidRDefault="00597AB1">
      <w:pPr>
        <w:spacing w:before="100" w:line="224" w:lineRule="auto"/>
      </w:pPr>
      <w:r>
        <w:rPr>
          <w:noProof/>
          <w:lang w:eastAsia="zh-CN"/>
        </w:rPr>
        <w:drawing>
          <wp:inline distT="0" distB="0" distL="114300" distR="114300">
            <wp:extent cx="4544695" cy="3565525"/>
            <wp:effectExtent l="0" t="0" r="825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544695" cy="3565525"/>
                    </a:xfrm>
                    <a:prstGeom prst="rect">
                      <a:avLst/>
                    </a:prstGeom>
                    <a:noFill/>
                    <a:ln>
                      <a:noFill/>
                    </a:ln>
                  </pic:spPr>
                </pic:pic>
              </a:graphicData>
            </a:graphic>
          </wp:inline>
        </w:drawing>
      </w:r>
    </w:p>
    <w:p w:rsidR="00A441D2" w:rsidRDefault="00A441D2">
      <w:pPr>
        <w:pStyle w:val="a3"/>
        <w:spacing w:line="340" w:lineRule="auto"/>
      </w:pPr>
    </w:p>
    <w:p w:rsidR="00A441D2" w:rsidRDefault="00A441D2">
      <w:pPr>
        <w:spacing w:before="101" w:line="224" w:lineRule="auto"/>
        <w:ind w:left="672"/>
        <w:rPr>
          <w:rFonts w:ascii="黑体" w:eastAsia="黑体" w:hAnsi="黑体" w:cs="黑体"/>
          <w:spacing w:val="7"/>
          <w:sz w:val="31"/>
          <w:szCs w:val="31"/>
        </w:rPr>
      </w:pPr>
    </w:p>
    <w:p w:rsidR="00A441D2" w:rsidRDefault="00597AB1">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收入决算表</w:t>
      </w:r>
    </w:p>
    <w:p w:rsidR="00A441D2" w:rsidRDefault="00A441D2">
      <w:pPr>
        <w:spacing w:before="101" w:line="224" w:lineRule="auto"/>
        <w:ind w:left="672"/>
        <w:rPr>
          <w:rFonts w:ascii="黑体" w:eastAsia="黑体" w:hAnsi="黑体" w:cs="黑体"/>
          <w:spacing w:val="7"/>
          <w:sz w:val="31"/>
          <w:szCs w:val="31"/>
        </w:rPr>
      </w:pPr>
    </w:p>
    <w:p w:rsidR="00A441D2" w:rsidRDefault="000D4AD2">
      <w:pPr>
        <w:pStyle w:val="a3"/>
        <w:spacing w:line="339" w:lineRule="auto"/>
      </w:pPr>
      <w:r w:rsidRPr="000D4AD2">
        <w:rPr>
          <w:noProof/>
          <w:lang w:eastAsia="zh-CN"/>
        </w:rPr>
        <w:drawing>
          <wp:inline distT="0" distB="0" distL="114300" distR="114300">
            <wp:extent cx="4763770" cy="1537970"/>
            <wp:effectExtent l="0" t="0" r="17780"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763770" cy="1537970"/>
                    </a:xfrm>
                    <a:prstGeom prst="rect">
                      <a:avLst/>
                    </a:prstGeom>
                    <a:noFill/>
                    <a:ln>
                      <a:noFill/>
                    </a:ln>
                  </pic:spPr>
                </pic:pic>
              </a:graphicData>
            </a:graphic>
          </wp:inline>
        </w:drawing>
      </w:r>
    </w:p>
    <w:p w:rsidR="00A441D2" w:rsidRDefault="00A441D2">
      <w:pPr>
        <w:pStyle w:val="a3"/>
        <w:spacing w:line="339" w:lineRule="auto"/>
      </w:pPr>
    </w:p>
    <w:p w:rsidR="00A441D2" w:rsidRDefault="00A441D2">
      <w:pPr>
        <w:pStyle w:val="a3"/>
        <w:spacing w:line="339" w:lineRule="auto"/>
      </w:pPr>
    </w:p>
    <w:p w:rsidR="00A441D2" w:rsidRDefault="00A441D2">
      <w:pPr>
        <w:pStyle w:val="a3"/>
        <w:spacing w:line="339" w:lineRule="auto"/>
      </w:pPr>
    </w:p>
    <w:p w:rsidR="00A441D2" w:rsidRDefault="00A441D2">
      <w:pPr>
        <w:pStyle w:val="a3"/>
        <w:spacing w:line="340" w:lineRule="auto"/>
      </w:pPr>
    </w:p>
    <w:p w:rsidR="00A441D2" w:rsidRDefault="00597AB1">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lastRenderedPageBreak/>
        <w:t>支出决算表</w:t>
      </w:r>
    </w:p>
    <w:p w:rsidR="00A441D2" w:rsidRDefault="00A441D2">
      <w:pPr>
        <w:spacing w:before="101" w:line="224" w:lineRule="auto"/>
        <w:ind w:left="672"/>
        <w:rPr>
          <w:rFonts w:ascii="黑体" w:eastAsia="黑体" w:hAnsi="黑体" w:cs="黑体"/>
          <w:spacing w:val="7"/>
          <w:sz w:val="31"/>
          <w:szCs w:val="31"/>
        </w:rPr>
      </w:pPr>
    </w:p>
    <w:p w:rsidR="00A441D2" w:rsidRDefault="000D4AD2">
      <w:pPr>
        <w:pStyle w:val="a3"/>
        <w:spacing w:line="339" w:lineRule="auto"/>
      </w:pPr>
      <w:r w:rsidRPr="000D4AD2">
        <w:rPr>
          <w:noProof/>
          <w:lang w:eastAsia="zh-CN"/>
        </w:rPr>
        <w:drawing>
          <wp:inline distT="0" distB="0" distL="114300" distR="114300">
            <wp:extent cx="4653280" cy="1704340"/>
            <wp:effectExtent l="0" t="0" r="13970" b="1016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653280" cy="1704340"/>
                    </a:xfrm>
                    <a:prstGeom prst="rect">
                      <a:avLst/>
                    </a:prstGeom>
                    <a:noFill/>
                    <a:ln>
                      <a:noFill/>
                    </a:ln>
                  </pic:spPr>
                </pic:pic>
              </a:graphicData>
            </a:graphic>
          </wp:inline>
        </w:drawing>
      </w:r>
    </w:p>
    <w:p w:rsidR="00A441D2" w:rsidRDefault="00A441D2">
      <w:pPr>
        <w:pStyle w:val="a3"/>
        <w:spacing w:line="340" w:lineRule="auto"/>
      </w:pPr>
    </w:p>
    <w:p w:rsidR="00A441D2" w:rsidRDefault="00597AB1">
      <w:pPr>
        <w:numPr>
          <w:ilvl w:val="0"/>
          <w:numId w:val="1"/>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t>财政拨款收入支出决算总表</w:t>
      </w:r>
    </w:p>
    <w:p w:rsidR="00A441D2" w:rsidRDefault="00A441D2">
      <w:pPr>
        <w:spacing w:before="101" w:line="224" w:lineRule="auto"/>
        <w:ind w:left="672"/>
        <w:rPr>
          <w:rFonts w:ascii="黑体" w:eastAsia="黑体" w:hAnsi="黑体" w:cs="黑体"/>
          <w:spacing w:val="7"/>
          <w:sz w:val="31"/>
          <w:szCs w:val="31"/>
          <w:lang w:eastAsia="zh-CN"/>
        </w:rPr>
      </w:pPr>
    </w:p>
    <w:p w:rsidR="00A441D2" w:rsidRDefault="000D4AD2">
      <w:pPr>
        <w:pStyle w:val="a3"/>
        <w:spacing w:line="245" w:lineRule="auto"/>
      </w:pPr>
      <w:r w:rsidRPr="000D4AD2">
        <w:rPr>
          <w:noProof/>
          <w:lang w:eastAsia="zh-CN"/>
        </w:rPr>
        <w:drawing>
          <wp:inline distT="0" distB="0" distL="114300" distR="114300">
            <wp:extent cx="4763135" cy="3458845"/>
            <wp:effectExtent l="0" t="0" r="18415" b="8255"/>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763135" cy="3458845"/>
                    </a:xfrm>
                    <a:prstGeom prst="rect">
                      <a:avLst/>
                    </a:prstGeom>
                    <a:noFill/>
                    <a:ln>
                      <a:noFill/>
                    </a:ln>
                  </pic:spPr>
                </pic:pic>
              </a:graphicData>
            </a:graphic>
          </wp:inline>
        </w:drawing>
      </w:r>
    </w:p>
    <w:p w:rsidR="00A441D2" w:rsidRDefault="00A441D2">
      <w:pPr>
        <w:pStyle w:val="a3"/>
        <w:spacing w:line="339" w:lineRule="auto"/>
      </w:pPr>
    </w:p>
    <w:p w:rsidR="00A441D2" w:rsidRDefault="00597AB1">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一般公共预算财政拨款支出决算表</w:t>
      </w:r>
    </w:p>
    <w:p w:rsidR="00A441D2" w:rsidRDefault="00A441D2">
      <w:pPr>
        <w:spacing w:before="100" w:line="224" w:lineRule="auto"/>
        <w:ind w:left="672"/>
        <w:rPr>
          <w:rFonts w:ascii="黑体" w:eastAsia="黑体" w:hAnsi="黑体" w:cs="黑体"/>
          <w:spacing w:val="8"/>
          <w:sz w:val="31"/>
          <w:szCs w:val="31"/>
          <w:lang w:eastAsia="zh-CN"/>
        </w:rPr>
      </w:pPr>
    </w:p>
    <w:p w:rsidR="00A441D2" w:rsidRDefault="000D4AD2">
      <w:pPr>
        <w:pStyle w:val="a3"/>
        <w:spacing w:line="339" w:lineRule="auto"/>
      </w:pPr>
      <w:r w:rsidRPr="000D4AD2">
        <w:rPr>
          <w:noProof/>
          <w:lang w:eastAsia="zh-CN"/>
        </w:rPr>
        <w:drawing>
          <wp:inline distT="0" distB="0" distL="114300" distR="114300">
            <wp:extent cx="4641850" cy="1059815"/>
            <wp:effectExtent l="0" t="0" r="6350" b="698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641850" cy="1059815"/>
                    </a:xfrm>
                    <a:prstGeom prst="rect">
                      <a:avLst/>
                    </a:prstGeom>
                    <a:noFill/>
                    <a:ln>
                      <a:noFill/>
                    </a:ln>
                  </pic:spPr>
                </pic:pic>
              </a:graphicData>
            </a:graphic>
          </wp:inline>
        </w:drawing>
      </w:r>
    </w:p>
    <w:p w:rsidR="00A441D2" w:rsidRDefault="00A441D2">
      <w:pPr>
        <w:pStyle w:val="a3"/>
        <w:spacing w:line="339" w:lineRule="auto"/>
      </w:pPr>
    </w:p>
    <w:p w:rsidR="00A441D2" w:rsidRDefault="00A441D2">
      <w:pPr>
        <w:pStyle w:val="a3"/>
        <w:spacing w:line="339" w:lineRule="auto"/>
      </w:pPr>
    </w:p>
    <w:p w:rsidR="00A441D2" w:rsidRDefault="00A441D2">
      <w:pPr>
        <w:pStyle w:val="a3"/>
        <w:spacing w:line="339" w:lineRule="auto"/>
      </w:pPr>
    </w:p>
    <w:p w:rsidR="00A441D2" w:rsidRDefault="00597AB1">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一般公共预算财政拨款基本支出决算明细表</w:t>
      </w:r>
    </w:p>
    <w:p w:rsidR="00A441D2" w:rsidRDefault="00A441D2">
      <w:pPr>
        <w:spacing w:before="100" w:line="224" w:lineRule="auto"/>
        <w:ind w:left="672"/>
        <w:rPr>
          <w:rFonts w:ascii="黑体" w:eastAsia="黑体" w:hAnsi="黑体" w:cs="黑体"/>
          <w:spacing w:val="8"/>
          <w:sz w:val="31"/>
          <w:szCs w:val="31"/>
          <w:lang w:eastAsia="zh-CN"/>
        </w:rPr>
      </w:pPr>
    </w:p>
    <w:p w:rsidR="00A441D2" w:rsidRDefault="000D4AD2">
      <w:pPr>
        <w:pStyle w:val="a3"/>
        <w:spacing w:line="340" w:lineRule="auto"/>
      </w:pPr>
      <w:r w:rsidRPr="000D4AD2">
        <w:rPr>
          <w:noProof/>
          <w:lang w:eastAsia="zh-CN"/>
        </w:rPr>
        <w:drawing>
          <wp:inline distT="0" distB="0" distL="114300" distR="114300">
            <wp:extent cx="4752975" cy="2726055"/>
            <wp:effectExtent l="0" t="0" r="9525" b="1714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4752975" cy="2726055"/>
                    </a:xfrm>
                    <a:prstGeom prst="rect">
                      <a:avLst/>
                    </a:prstGeom>
                    <a:noFill/>
                    <a:ln>
                      <a:noFill/>
                    </a:ln>
                  </pic:spPr>
                </pic:pic>
              </a:graphicData>
            </a:graphic>
          </wp:inline>
        </w:drawing>
      </w:r>
    </w:p>
    <w:p w:rsidR="00A441D2" w:rsidRDefault="00A441D2">
      <w:pPr>
        <w:pStyle w:val="a3"/>
        <w:spacing w:line="340" w:lineRule="auto"/>
      </w:pPr>
    </w:p>
    <w:p w:rsidR="00A441D2" w:rsidRDefault="00A441D2">
      <w:pPr>
        <w:pStyle w:val="a3"/>
        <w:spacing w:line="340" w:lineRule="auto"/>
      </w:pPr>
    </w:p>
    <w:p w:rsidR="00A441D2" w:rsidRDefault="00597AB1">
      <w:pPr>
        <w:numPr>
          <w:ilvl w:val="0"/>
          <w:numId w:val="1"/>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政府性基金预算财政拨款收入支出决算表</w:t>
      </w:r>
    </w:p>
    <w:p w:rsidR="00A441D2" w:rsidRDefault="00A441D2">
      <w:pPr>
        <w:spacing w:before="101" w:line="224" w:lineRule="auto"/>
        <w:ind w:left="672"/>
        <w:rPr>
          <w:rFonts w:ascii="黑体" w:eastAsia="黑体" w:hAnsi="黑体" w:cs="黑体"/>
          <w:spacing w:val="8"/>
          <w:sz w:val="31"/>
          <w:szCs w:val="31"/>
          <w:lang w:eastAsia="zh-CN"/>
        </w:rPr>
      </w:pPr>
    </w:p>
    <w:p w:rsidR="00A441D2" w:rsidRDefault="000D4AD2">
      <w:pPr>
        <w:pStyle w:val="a3"/>
        <w:spacing w:line="339" w:lineRule="auto"/>
      </w:pPr>
      <w:r w:rsidRPr="000D4AD2">
        <w:rPr>
          <w:noProof/>
          <w:lang w:eastAsia="zh-CN"/>
        </w:rPr>
        <w:drawing>
          <wp:inline distT="0" distB="0" distL="114300" distR="114300">
            <wp:extent cx="4754880" cy="847725"/>
            <wp:effectExtent l="0" t="0" r="7620" b="9525"/>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4754880" cy="847725"/>
                    </a:xfrm>
                    <a:prstGeom prst="rect">
                      <a:avLst/>
                    </a:prstGeom>
                    <a:noFill/>
                    <a:ln>
                      <a:noFill/>
                    </a:ln>
                  </pic:spPr>
                </pic:pic>
              </a:graphicData>
            </a:graphic>
          </wp:inline>
        </w:drawing>
      </w:r>
    </w:p>
    <w:p w:rsidR="00A441D2" w:rsidRDefault="00A441D2">
      <w:pPr>
        <w:pStyle w:val="a3"/>
        <w:spacing w:line="340" w:lineRule="auto"/>
      </w:pPr>
    </w:p>
    <w:p w:rsidR="00A441D2" w:rsidRDefault="00A441D2">
      <w:pPr>
        <w:pStyle w:val="a3"/>
        <w:spacing w:line="340" w:lineRule="auto"/>
      </w:pPr>
    </w:p>
    <w:p w:rsidR="00A441D2" w:rsidRDefault="00A441D2">
      <w:pPr>
        <w:pStyle w:val="a3"/>
        <w:spacing w:line="340" w:lineRule="auto"/>
      </w:pPr>
    </w:p>
    <w:p w:rsidR="00A441D2" w:rsidRDefault="00597AB1">
      <w:pPr>
        <w:numPr>
          <w:ilvl w:val="0"/>
          <w:numId w:val="1"/>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国有资本经营预算财政拨款支出决算表</w:t>
      </w:r>
    </w:p>
    <w:p w:rsidR="00A441D2" w:rsidRDefault="00A441D2">
      <w:pPr>
        <w:spacing w:before="101" w:line="224" w:lineRule="auto"/>
        <w:ind w:left="672"/>
        <w:rPr>
          <w:rFonts w:ascii="黑体" w:eastAsia="黑体" w:hAnsi="黑体" w:cs="黑体"/>
          <w:spacing w:val="8"/>
          <w:sz w:val="31"/>
          <w:szCs w:val="31"/>
          <w:lang w:eastAsia="zh-CN"/>
        </w:rPr>
      </w:pPr>
    </w:p>
    <w:p w:rsidR="00A441D2" w:rsidRDefault="000D4AD2">
      <w:pPr>
        <w:pStyle w:val="a3"/>
        <w:spacing w:line="340" w:lineRule="auto"/>
      </w:pPr>
      <w:r w:rsidRPr="000D4AD2">
        <w:rPr>
          <w:noProof/>
          <w:lang w:eastAsia="zh-CN"/>
        </w:rPr>
        <w:drawing>
          <wp:inline distT="0" distB="0" distL="114300" distR="114300">
            <wp:extent cx="4841875" cy="1260475"/>
            <wp:effectExtent l="0" t="0" r="15875" b="1587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4841875" cy="1260475"/>
                    </a:xfrm>
                    <a:prstGeom prst="rect">
                      <a:avLst/>
                    </a:prstGeom>
                    <a:noFill/>
                    <a:ln>
                      <a:noFill/>
                    </a:ln>
                  </pic:spPr>
                </pic:pic>
              </a:graphicData>
            </a:graphic>
          </wp:inline>
        </w:drawing>
      </w:r>
    </w:p>
    <w:p w:rsidR="00A441D2" w:rsidRDefault="00A441D2">
      <w:pPr>
        <w:pStyle w:val="a3"/>
        <w:spacing w:line="340" w:lineRule="auto"/>
      </w:pPr>
    </w:p>
    <w:p w:rsidR="00A441D2" w:rsidRDefault="00A441D2">
      <w:pPr>
        <w:pStyle w:val="a3"/>
        <w:spacing w:line="340" w:lineRule="auto"/>
      </w:pPr>
    </w:p>
    <w:p w:rsidR="00A441D2" w:rsidRDefault="00A441D2">
      <w:pPr>
        <w:pStyle w:val="a3"/>
        <w:spacing w:line="340" w:lineRule="auto"/>
      </w:pPr>
    </w:p>
    <w:p w:rsidR="00A441D2" w:rsidRDefault="00A441D2">
      <w:pPr>
        <w:pStyle w:val="a3"/>
        <w:spacing w:line="340" w:lineRule="auto"/>
      </w:pPr>
    </w:p>
    <w:p w:rsidR="00A441D2" w:rsidRDefault="00597AB1">
      <w:pPr>
        <w:spacing w:before="101" w:line="224" w:lineRule="auto"/>
        <w:ind w:left="675"/>
        <w:rPr>
          <w:rFonts w:ascii="黑体" w:eastAsia="黑体" w:hAnsi="黑体" w:cs="黑体" w:hint="eastAsia"/>
          <w:spacing w:val="8"/>
          <w:sz w:val="31"/>
          <w:szCs w:val="31"/>
          <w:lang w:eastAsia="zh-CN"/>
        </w:rPr>
      </w:pPr>
      <w:r>
        <w:rPr>
          <w:rFonts w:ascii="黑体" w:eastAsia="黑体" w:hAnsi="黑体" w:cs="黑体"/>
          <w:spacing w:val="8"/>
          <w:sz w:val="31"/>
          <w:szCs w:val="31"/>
          <w:lang w:eastAsia="zh-CN"/>
        </w:rPr>
        <w:lastRenderedPageBreak/>
        <w:t>九、财政拨款“三公”经费支出决算表</w:t>
      </w:r>
    </w:p>
    <w:p w:rsidR="00BB1536" w:rsidRDefault="00BB1536">
      <w:pPr>
        <w:spacing w:before="101" w:line="224" w:lineRule="auto"/>
        <w:ind w:left="675"/>
        <w:rPr>
          <w:rFonts w:ascii="黑体" w:eastAsia="黑体" w:hAnsi="黑体" w:cs="黑体" w:hint="eastAsia"/>
          <w:spacing w:val="8"/>
          <w:sz w:val="31"/>
          <w:szCs w:val="31"/>
          <w:lang w:eastAsia="zh-CN"/>
        </w:rPr>
      </w:pPr>
    </w:p>
    <w:p w:rsidR="00BB1536" w:rsidRDefault="00BB1536" w:rsidP="00BB1536">
      <w:pPr>
        <w:spacing w:before="101" w:line="224" w:lineRule="auto"/>
        <w:rPr>
          <w:rFonts w:ascii="黑体" w:eastAsia="黑体" w:hAnsi="黑体" w:cs="黑体"/>
          <w:sz w:val="31"/>
          <w:szCs w:val="31"/>
          <w:lang w:eastAsia="zh-CN"/>
        </w:rPr>
      </w:pPr>
      <w:r>
        <w:rPr>
          <w:rFonts w:ascii="黑体" w:eastAsia="黑体" w:hAnsi="黑体" w:cs="黑体"/>
          <w:noProof/>
          <w:snapToGrid/>
          <w:sz w:val="31"/>
          <w:szCs w:val="31"/>
          <w:lang w:eastAsia="zh-CN"/>
        </w:rPr>
        <w:drawing>
          <wp:inline distT="0" distB="0" distL="0" distR="0">
            <wp:extent cx="5293995" cy="1315296"/>
            <wp:effectExtent l="1905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293995" cy="1315296"/>
                    </a:xfrm>
                    <a:prstGeom prst="rect">
                      <a:avLst/>
                    </a:prstGeom>
                    <a:noFill/>
                    <a:ln w="9525">
                      <a:noFill/>
                      <a:miter lim="800000"/>
                      <a:headEnd/>
                      <a:tailEnd/>
                    </a:ln>
                  </pic:spPr>
                </pic:pic>
              </a:graphicData>
            </a:graphic>
          </wp:inline>
        </w:drawing>
      </w:r>
    </w:p>
    <w:p w:rsidR="00A441D2" w:rsidRDefault="00597AB1" w:rsidP="000D4AD2">
      <w:pPr>
        <w:spacing w:before="100" w:line="224" w:lineRule="auto"/>
        <w:ind w:leftChars="14" w:left="29" w:firstLineChars="150" w:firstLine="477"/>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A441D2" w:rsidRDefault="00A441D2">
      <w:pPr>
        <w:pStyle w:val="a3"/>
        <w:spacing w:line="261" w:lineRule="auto"/>
        <w:rPr>
          <w:lang w:eastAsia="zh-CN"/>
        </w:rPr>
      </w:pPr>
    </w:p>
    <w:p w:rsidR="00A441D2" w:rsidRDefault="000D4AD2">
      <w:pPr>
        <w:pStyle w:val="a3"/>
        <w:spacing w:line="261" w:lineRule="auto"/>
        <w:rPr>
          <w:lang w:eastAsia="zh-CN"/>
        </w:rPr>
      </w:pPr>
      <w:r>
        <w:rPr>
          <w:noProof/>
          <w:snapToGrid/>
          <w:lang w:eastAsia="zh-CN"/>
        </w:rPr>
        <w:drawing>
          <wp:inline distT="0" distB="0" distL="0" distR="0">
            <wp:extent cx="5294822" cy="4853751"/>
            <wp:effectExtent l="19050" t="0" r="1078"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297799" cy="4856480"/>
                    </a:xfrm>
                    <a:prstGeom prst="rect">
                      <a:avLst/>
                    </a:prstGeom>
                    <a:noFill/>
                    <a:ln w="9525">
                      <a:noFill/>
                      <a:miter lim="800000"/>
                      <a:headEnd/>
                      <a:tailEnd/>
                    </a:ln>
                  </pic:spPr>
                </pic:pic>
              </a:graphicData>
            </a:graphic>
          </wp:inline>
        </w:drawing>
      </w:r>
    </w:p>
    <w:p w:rsidR="00A441D2" w:rsidRDefault="00A441D2">
      <w:pPr>
        <w:spacing w:line="9847" w:lineRule="exact"/>
        <w:sectPr w:rsidR="00A441D2">
          <w:footerReference w:type="default" r:id="rId21"/>
          <w:pgSz w:w="11907" w:h="16839"/>
          <w:pgMar w:top="1431" w:right="1785" w:bottom="1153" w:left="1785" w:header="0" w:footer="965" w:gutter="0"/>
          <w:cols w:space="720"/>
        </w:sectPr>
      </w:pPr>
    </w:p>
    <w:p w:rsidR="00A441D2" w:rsidRDefault="00597AB1">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第三部分2023年度部门决算情况说明</w:t>
      </w:r>
    </w:p>
    <w:p w:rsidR="00A441D2" w:rsidRDefault="00A441D2">
      <w:pPr>
        <w:pStyle w:val="a3"/>
        <w:spacing w:line="314" w:lineRule="auto"/>
        <w:rPr>
          <w:lang w:eastAsia="zh-CN"/>
        </w:rPr>
      </w:pPr>
    </w:p>
    <w:p w:rsidR="00A441D2" w:rsidRDefault="00A441D2">
      <w:pPr>
        <w:pStyle w:val="a3"/>
        <w:spacing w:line="314" w:lineRule="auto"/>
        <w:rPr>
          <w:lang w:eastAsia="zh-CN"/>
        </w:rPr>
      </w:pPr>
    </w:p>
    <w:p w:rsidR="00A441D2" w:rsidRDefault="00A441D2">
      <w:pPr>
        <w:pStyle w:val="a3"/>
        <w:spacing w:line="315" w:lineRule="auto"/>
        <w:rPr>
          <w:lang w:eastAsia="zh-CN"/>
        </w:rPr>
      </w:pPr>
    </w:p>
    <w:p w:rsidR="00A441D2" w:rsidRDefault="00597AB1">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A441D2" w:rsidRDefault="00597AB1">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w:t>
      </w:r>
      <w:r>
        <w:rPr>
          <w:rFonts w:ascii="仿宋" w:eastAsia="仿宋" w:hAnsi="仿宋" w:cs="仿宋" w:hint="eastAsia"/>
          <w:spacing w:val="4"/>
          <w:sz w:val="31"/>
          <w:szCs w:val="31"/>
          <w:lang w:eastAsia="zh-CN"/>
        </w:rPr>
        <w:t>均</w:t>
      </w:r>
      <w:r>
        <w:rPr>
          <w:rFonts w:ascii="仿宋" w:eastAsia="仿宋" w:hAnsi="仿宋" w:cs="仿宋"/>
          <w:spacing w:val="4"/>
          <w:sz w:val="31"/>
          <w:szCs w:val="31"/>
          <w:lang w:eastAsia="zh-CN"/>
        </w:rPr>
        <w:t>为</w:t>
      </w:r>
      <w:r>
        <w:rPr>
          <w:rFonts w:ascii="仿宋" w:eastAsia="仿宋" w:hAnsi="仿宋" w:cs="仿宋" w:hint="eastAsia"/>
          <w:spacing w:val="4"/>
          <w:sz w:val="31"/>
          <w:szCs w:val="31"/>
          <w:lang w:eastAsia="zh-CN"/>
        </w:rPr>
        <w:t>2,359.14</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、2,357.73万元</w:t>
      </w:r>
      <w:r>
        <w:rPr>
          <w:rFonts w:ascii="仿宋" w:eastAsia="仿宋" w:hAnsi="仿宋" w:cs="仿宋"/>
          <w:spacing w:val="4"/>
          <w:sz w:val="31"/>
          <w:szCs w:val="31"/>
          <w:lang w:eastAsia="zh-CN"/>
        </w:rPr>
        <w:t>。与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年度相比，收、支总计各减少</w:t>
      </w:r>
      <w:r>
        <w:rPr>
          <w:rFonts w:ascii="仿宋" w:eastAsia="仿宋" w:hAnsi="仿宋" w:cs="仿宋" w:hint="eastAsia"/>
          <w:spacing w:val="4"/>
          <w:sz w:val="31"/>
          <w:szCs w:val="31"/>
          <w:lang w:eastAsia="zh-CN"/>
        </w:rPr>
        <w:t>444.26</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、445.67万元</w:t>
      </w:r>
      <w:r>
        <w:rPr>
          <w:rFonts w:ascii="仿宋" w:eastAsia="仿宋" w:hAnsi="仿宋" w:cs="仿宋"/>
          <w:spacing w:val="4"/>
          <w:sz w:val="31"/>
          <w:szCs w:val="31"/>
          <w:lang w:eastAsia="zh-CN"/>
        </w:rPr>
        <w:t>，下降</w:t>
      </w:r>
      <w:r>
        <w:rPr>
          <w:rFonts w:ascii="仿宋" w:eastAsia="仿宋" w:hAnsi="仿宋" w:cs="仿宋" w:hint="eastAsia"/>
          <w:spacing w:val="4"/>
          <w:sz w:val="31"/>
          <w:szCs w:val="31"/>
          <w:lang w:eastAsia="zh-CN"/>
        </w:rPr>
        <w:t>各为15.85</w:t>
      </w:r>
      <w:r>
        <w:rPr>
          <w:rFonts w:ascii="宋体" w:eastAsia="宋体" w:hAnsi="宋体" w:cs="宋体"/>
          <w:spacing w:val="4"/>
          <w:sz w:val="31"/>
          <w:szCs w:val="31"/>
          <w:lang w:eastAsia="zh-CN"/>
        </w:rPr>
        <w:t>%</w:t>
      </w:r>
      <w:r>
        <w:rPr>
          <w:rFonts w:ascii="宋体" w:eastAsia="宋体" w:hAnsi="宋体" w:cs="宋体" w:hint="eastAsia"/>
          <w:spacing w:val="4"/>
          <w:sz w:val="31"/>
          <w:szCs w:val="31"/>
          <w:lang w:eastAsia="zh-CN"/>
        </w:rPr>
        <w:t>、15.90%</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本年度项目支出减少。</w:t>
      </w:r>
    </w:p>
    <w:p w:rsidR="00A441D2" w:rsidRDefault="00A441D2">
      <w:pPr>
        <w:pStyle w:val="a3"/>
        <w:spacing w:line="260" w:lineRule="auto"/>
        <w:rPr>
          <w:lang w:eastAsia="zh-CN"/>
        </w:rPr>
      </w:pPr>
    </w:p>
    <w:p w:rsidR="00A441D2" w:rsidRDefault="00597AB1">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A441D2" w:rsidRDefault="00597AB1">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2,359.14</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31"/>
          <w:szCs w:val="31"/>
          <w:lang w:eastAsia="zh-CN"/>
        </w:rPr>
        <w:t>2,359.14</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上年减少</w:t>
      </w:r>
      <w:r>
        <w:rPr>
          <w:rFonts w:ascii="仿宋" w:eastAsia="仿宋" w:hAnsi="仿宋" w:cs="仿宋" w:hint="eastAsia"/>
          <w:spacing w:val="6"/>
          <w:sz w:val="31"/>
          <w:szCs w:val="31"/>
          <w:lang w:eastAsia="zh-CN"/>
        </w:rPr>
        <w:t>444.26</w:t>
      </w:r>
      <w:r>
        <w:rPr>
          <w:rFonts w:ascii="仿宋" w:eastAsia="仿宋" w:hAnsi="仿宋" w:cs="仿宋"/>
          <w:spacing w:val="6"/>
          <w:sz w:val="31"/>
          <w:szCs w:val="31"/>
          <w:lang w:eastAsia="zh-CN"/>
        </w:rPr>
        <w:t>万元，下降</w:t>
      </w:r>
      <w:r>
        <w:rPr>
          <w:rFonts w:ascii="仿宋" w:eastAsia="仿宋" w:hAnsi="仿宋" w:cs="仿宋" w:hint="eastAsia"/>
          <w:spacing w:val="6"/>
          <w:sz w:val="31"/>
          <w:szCs w:val="31"/>
          <w:lang w:eastAsia="zh-CN"/>
        </w:rPr>
        <w:t>15.85</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10"/>
          <w:sz w:val="31"/>
          <w:szCs w:val="31"/>
          <w:lang w:eastAsia="zh-CN"/>
        </w:rPr>
        <w:t>本年度项目支出减少</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万元，比上年增加（减少）</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万元，增长（下降）</w:t>
      </w:r>
      <w:r>
        <w:rPr>
          <w:rFonts w:ascii="仿宋" w:eastAsia="仿宋" w:hAnsi="仿宋" w:cs="仿宋" w:hint="eastAsia"/>
          <w:spacing w:val="-15"/>
          <w:sz w:val="31"/>
          <w:szCs w:val="31"/>
          <w:lang w:eastAsia="zh-CN"/>
        </w:rPr>
        <w:t>0</w:t>
      </w:r>
      <w:r>
        <w:rPr>
          <w:rFonts w:ascii="宋体" w:eastAsia="宋体" w:hAnsi="宋体" w:cs="宋体"/>
          <w:spacing w:val="-15"/>
          <w:sz w:val="31"/>
          <w:szCs w:val="31"/>
          <w:lang w:eastAsia="zh-CN"/>
        </w:rPr>
        <w:t>%</w:t>
      </w:r>
      <w:r>
        <w:rPr>
          <w:rFonts w:ascii="仿宋" w:eastAsia="仿宋" w:hAnsi="仿宋" w:cs="仿宋"/>
          <w:spacing w:val="4"/>
          <w:sz w:val="31"/>
          <w:szCs w:val="31"/>
          <w:lang w:eastAsia="zh-CN"/>
        </w:rPr>
        <w:t>；事业收入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万元，比上年增加（减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；经营收入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万元，比</w:t>
      </w:r>
      <w:r>
        <w:rPr>
          <w:rFonts w:ascii="仿宋" w:eastAsia="仿宋" w:hAnsi="仿宋" w:cs="仿宋"/>
          <w:spacing w:val="3"/>
          <w:sz w:val="31"/>
          <w:szCs w:val="31"/>
          <w:lang w:eastAsia="zh-CN"/>
        </w:rPr>
        <w:t>上年增</w:t>
      </w:r>
      <w:r>
        <w:rPr>
          <w:rFonts w:ascii="仿宋" w:eastAsia="仿宋" w:hAnsi="仿宋" w:cs="仿宋"/>
          <w:spacing w:val="7"/>
          <w:sz w:val="31"/>
          <w:szCs w:val="31"/>
          <w:lang w:eastAsia="zh-CN"/>
        </w:rPr>
        <w:t>加（减少）</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万元，增长（下降）</w:t>
      </w:r>
      <w:r>
        <w:rPr>
          <w:rFonts w:ascii="仿宋" w:eastAsia="仿宋" w:hAnsi="仿宋" w:cs="仿宋" w:hint="eastAsia"/>
          <w:spacing w:val="7"/>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上缴收入</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万元，比上年增加（减少</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）万元，增长（下降）</w:t>
      </w:r>
      <w:r>
        <w:rPr>
          <w:rFonts w:ascii="仿宋" w:eastAsia="仿宋" w:hAnsi="仿宋" w:cs="仿宋" w:hint="eastAsia"/>
          <w:spacing w:val="-9"/>
          <w:sz w:val="31"/>
          <w:szCs w:val="31"/>
          <w:lang w:eastAsia="zh-CN"/>
        </w:rPr>
        <w:t>0</w:t>
      </w:r>
      <w:r>
        <w:rPr>
          <w:rFonts w:ascii="宋体" w:eastAsia="宋体" w:hAnsi="宋体" w:cs="宋体"/>
          <w:spacing w:val="-9"/>
          <w:sz w:val="31"/>
          <w:szCs w:val="31"/>
          <w:lang w:eastAsia="zh-CN"/>
        </w:rPr>
        <w:t>%</w:t>
      </w:r>
      <w:r>
        <w:rPr>
          <w:rFonts w:ascii="仿宋" w:eastAsia="仿宋" w:hAnsi="仿宋" w:cs="仿宋"/>
          <w:spacing w:val="4"/>
          <w:sz w:val="31"/>
          <w:szCs w:val="31"/>
          <w:lang w:eastAsia="zh-CN"/>
        </w:rPr>
        <w:t>；其他收入</w:t>
      </w:r>
      <w:r>
        <w:rPr>
          <w:rFonts w:ascii="仿宋" w:eastAsia="仿宋" w:hAnsi="仿宋" w:cs="仿宋" w:hint="eastAsia"/>
          <w:spacing w:val="4"/>
          <w:sz w:val="31"/>
          <w:szCs w:val="31"/>
          <w:lang w:eastAsia="zh-CN"/>
        </w:rPr>
        <w:t>0.01</w:t>
      </w:r>
      <w:r>
        <w:rPr>
          <w:rFonts w:ascii="仿宋" w:eastAsia="仿宋" w:hAnsi="仿宋" w:cs="仿宋"/>
          <w:spacing w:val="4"/>
          <w:sz w:val="31"/>
          <w:szCs w:val="31"/>
          <w:lang w:eastAsia="zh-CN"/>
        </w:rPr>
        <w:t>万元，比上年减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1.83</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增下降</w:t>
      </w:r>
      <w:r>
        <w:rPr>
          <w:rFonts w:ascii="仿宋" w:eastAsia="仿宋" w:hAnsi="仿宋" w:cs="仿宋" w:hint="eastAsia"/>
          <w:spacing w:val="4"/>
          <w:sz w:val="31"/>
          <w:szCs w:val="31"/>
          <w:lang w:eastAsia="zh-CN"/>
        </w:rPr>
        <w:t>99.67</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10"/>
          <w:sz w:val="31"/>
          <w:szCs w:val="31"/>
          <w:lang w:eastAsia="zh-CN"/>
        </w:rPr>
        <w:t>本年度其他支出减少</w:t>
      </w:r>
      <w:r>
        <w:rPr>
          <w:rFonts w:ascii="仿宋" w:eastAsia="仿宋" w:hAnsi="仿宋" w:cs="仿宋"/>
          <w:spacing w:val="4"/>
          <w:sz w:val="31"/>
          <w:szCs w:val="31"/>
          <w:lang w:eastAsia="zh-CN"/>
        </w:rPr>
        <w:t>。</w:t>
      </w:r>
    </w:p>
    <w:p w:rsidR="00A441D2" w:rsidRDefault="00597AB1">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A441D2" w:rsidRDefault="00597AB1">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2,357.73</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1,414.39</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 xml:space="preserve"> 456.38 </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47.64</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10"/>
          <w:sz w:val="31"/>
          <w:szCs w:val="31"/>
          <w:lang w:eastAsia="zh-CN"/>
        </w:rPr>
        <w:t>本年度基本支出增加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943.35</w:t>
      </w:r>
      <w:r>
        <w:rPr>
          <w:rFonts w:ascii="仿宋" w:eastAsia="仿宋" w:hAnsi="仿宋" w:cs="仿宋"/>
          <w:spacing w:val="3"/>
          <w:sz w:val="31"/>
          <w:szCs w:val="31"/>
          <w:lang w:eastAsia="zh-CN"/>
        </w:rPr>
        <w:t>万元，比上年减少</w:t>
      </w:r>
      <w:r>
        <w:rPr>
          <w:rFonts w:ascii="仿宋" w:eastAsia="仿宋" w:hAnsi="仿宋" w:cs="仿宋" w:hint="eastAsia"/>
          <w:spacing w:val="3"/>
          <w:sz w:val="31"/>
          <w:szCs w:val="31"/>
          <w:lang w:eastAsia="zh-CN"/>
        </w:rPr>
        <w:t>461.11</w:t>
      </w:r>
      <w:r>
        <w:rPr>
          <w:rFonts w:ascii="仿宋" w:eastAsia="仿宋" w:hAnsi="仿宋" w:cs="仿宋"/>
          <w:spacing w:val="3"/>
          <w:sz w:val="31"/>
          <w:szCs w:val="31"/>
          <w:lang w:eastAsia="zh-CN"/>
        </w:rPr>
        <w:lastRenderedPageBreak/>
        <w:t>万元，增长</w:t>
      </w:r>
      <w:r>
        <w:rPr>
          <w:rFonts w:ascii="仿宋" w:eastAsia="仿宋" w:hAnsi="仿宋" w:cs="仿宋" w:hint="eastAsia"/>
          <w:spacing w:val="3"/>
          <w:sz w:val="31"/>
          <w:szCs w:val="31"/>
          <w:lang w:eastAsia="zh-CN"/>
        </w:rPr>
        <w:t>24.99</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10"/>
          <w:sz w:val="31"/>
          <w:szCs w:val="31"/>
          <w:lang w:eastAsia="zh-CN"/>
        </w:rPr>
        <w:t>本年度人员及办公支出减少</w:t>
      </w:r>
      <w:r>
        <w:rPr>
          <w:rFonts w:ascii="仿宋" w:eastAsia="仿宋" w:hAnsi="仿宋" w:cs="仿宋"/>
          <w:spacing w:val="-2"/>
          <w:sz w:val="31"/>
          <w:szCs w:val="31"/>
          <w:lang w:eastAsia="zh-CN"/>
        </w:rPr>
        <w:t>；上缴上级支出</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万元，比上年增加（减少）</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2"/>
          <w:sz w:val="31"/>
          <w:szCs w:val="31"/>
          <w:lang w:eastAsia="zh-CN"/>
        </w:rPr>
        <w:t>增长（下降）</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；经营支出</w:t>
      </w:r>
      <w:r>
        <w:rPr>
          <w:rFonts w:ascii="仿宋" w:eastAsia="仿宋" w:hAnsi="仿宋" w:cs="仿宋" w:hint="eastAsia"/>
          <w:spacing w:val="46"/>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1"/>
          <w:sz w:val="31"/>
          <w:szCs w:val="31"/>
          <w:lang w:eastAsia="zh-CN"/>
        </w:rPr>
        <w:t>比上年增</w:t>
      </w:r>
      <w:r>
        <w:rPr>
          <w:rFonts w:ascii="仿宋" w:eastAsia="仿宋" w:hAnsi="仿宋" w:cs="仿宋"/>
          <w:spacing w:val="7"/>
          <w:sz w:val="31"/>
          <w:szCs w:val="31"/>
          <w:lang w:eastAsia="zh-CN"/>
        </w:rPr>
        <w:t>加（减少）</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万元，增长（下降）</w:t>
      </w:r>
      <w:r>
        <w:rPr>
          <w:rFonts w:ascii="仿宋" w:eastAsia="仿宋" w:hAnsi="仿宋" w:cs="仿宋" w:hint="eastAsia"/>
          <w:spacing w:val="7"/>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万元，比上年增加（减少）</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万元，增长（下降）</w:t>
      </w:r>
      <w:r>
        <w:rPr>
          <w:rFonts w:ascii="仿宋" w:eastAsia="仿宋" w:hAnsi="仿宋" w:cs="仿宋" w:hint="eastAsia"/>
          <w:spacing w:val="-15"/>
          <w:sz w:val="31"/>
          <w:szCs w:val="31"/>
          <w:lang w:eastAsia="zh-CN"/>
        </w:rPr>
        <w:t>0</w:t>
      </w:r>
      <w:r>
        <w:rPr>
          <w:rFonts w:ascii="宋体" w:eastAsia="宋体" w:hAnsi="宋体" w:cs="宋体"/>
          <w:spacing w:val="-15"/>
          <w:sz w:val="31"/>
          <w:szCs w:val="31"/>
          <w:lang w:eastAsia="zh-CN"/>
        </w:rPr>
        <w:t>%</w:t>
      </w:r>
      <w:r>
        <w:rPr>
          <w:rFonts w:ascii="仿宋" w:eastAsia="仿宋" w:hAnsi="仿宋" w:cs="仿宋"/>
          <w:spacing w:val="-2"/>
          <w:sz w:val="31"/>
          <w:szCs w:val="31"/>
          <w:lang w:eastAsia="zh-CN"/>
        </w:rPr>
        <w:t>。</w:t>
      </w:r>
    </w:p>
    <w:p w:rsidR="00A441D2" w:rsidRDefault="00A441D2">
      <w:pPr>
        <w:pStyle w:val="a3"/>
        <w:spacing w:line="285" w:lineRule="auto"/>
        <w:rPr>
          <w:lang w:eastAsia="zh-CN"/>
        </w:rPr>
      </w:pPr>
    </w:p>
    <w:p w:rsidR="00A441D2" w:rsidRDefault="00597AB1">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A441D2" w:rsidRDefault="00597AB1">
      <w:pPr>
        <w:spacing w:before="248" w:line="362" w:lineRule="auto"/>
        <w:ind w:left="23" w:right="86" w:firstLine="648"/>
        <w:rPr>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hint="eastAsia"/>
          <w:spacing w:val="6"/>
          <w:sz w:val="31"/>
          <w:szCs w:val="31"/>
          <w:lang w:eastAsia="zh-CN"/>
        </w:rPr>
        <w:t>2,359.14</w:t>
      </w:r>
      <w:r>
        <w:rPr>
          <w:rFonts w:ascii="仿宋" w:eastAsia="仿宋" w:hAnsi="仿宋" w:cs="仿宋"/>
          <w:spacing w:val="5"/>
          <w:sz w:val="31"/>
          <w:szCs w:val="31"/>
          <w:lang w:eastAsia="zh-CN"/>
        </w:rPr>
        <w:t>万元</w:t>
      </w:r>
      <w:r>
        <w:rPr>
          <w:rFonts w:ascii="仿宋" w:eastAsia="仿宋" w:hAnsi="仿宋" w:cs="仿宋" w:hint="eastAsia"/>
          <w:spacing w:val="5"/>
          <w:sz w:val="31"/>
          <w:szCs w:val="31"/>
          <w:lang w:eastAsia="zh-CN"/>
        </w:rPr>
        <w:t>、2,357.73万元</w:t>
      </w:r>
      <w:r>
        <w:rPr>
          <w:rFonts w:ascii="仿宋" w:eastAsia="仿宋" w:hAnsi="仿宋" w:cs="仿宋"/>
          <w:spacing w:val="5"/>
          <w:sz w:val="31"/>
          <w:szCs w:val="31"/>
          <w:lang w:eastAsia="zh-CN"/>
        </w:rPr>
        <w:t>，与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 xml:space="preserve">相比，财政拨款收、支总计各增减少 </w:t>
      </w:r>
      <w:r>
        <w:rPr>
          <w:rFonts w:ascii="仿宋" w:eastAsia="仿宋" w:hAnsi="仿宋" w:cs="仿宋" w:hint="eastAsia"/>
          <w:spacing w:val="-9"/>
          <w:sz w:val="31"/>
          <w:szCs w:val="31"/>
          <w:lang w:eastAsia="zh-CN"/>
        </w:rPr>
        <w:t>444.26</w:t>
      </w:r>
      <w:r>
        <w:rPr>
          <w:rFonts w:ascii="仿宋" w:eastAsia="仿宋" w:hAnsi="仿宋" w:cs="仿宋"/>
          <w:spacing w:val="-9"/>
          <w:sz w:val="31"/>
          <w:szCs w:val="31"/>
          <w:lang w:eastAsia="zh-CN"/>
        </w:rPr>
        <w:t xml:space="preserve"> 万元</w:t>
      </w:r>
      <w:r>
        <w:rPr>
          <w:rFonts w:ascii="仿宋" w:eastAsia="仿宋" w:hAnsi="仿宋" w:cs="仿宋" w:hint="eastAsia"/>
          <w:spacing w:val="-9"/>
          <w:sz w:val="31"/>
          <w:szCs w:val="31"/>
          <w:lang w:eastAsia="zh-CN"/>
        </w:rPr>
        <w:t>、445.67万元</w:t>
      </w:r>
      <w:r>
        <w:rPr>
          <w:rFonts w:ascii="仿宋" w:eastAsia="仿宋" w:hAnsi="仿宋" w:cs="仿宋"/>
          <w:spacing w:val="-9"/>
          <w:sz w:val="31"/>
          <w:szCs w:val="31"/>
          <w:lang w:eastAsia="zh-CN"/>
        </w:rPr>
        <w:t>，降</w:t>
      </w:r>
      <w:r>
        <w:rPr>
          <w:rFonts w:ascii="仿宋" w:eastAsia="仿宋" w:hAnsi="仿宋" w:cs="仿宋"/>
          <w:spacing w:val="-1"/>
          <w:sz w:val="31"/>
          <w:szCs w:val="31"/>
          <w:lang w:eastAsia="zh-CN"/>
        </w:rPr>
        <w:t>低</w:t>
      </w:r>
      <w:r>
        <w:rPr>
          <w:rFonts w:ascii="仿宋" w:eastAsia="仿宋" w:hAnsi="仿宋" w:cs="仿宋" w:hint="eastAsia"/>
          <w:spacing w:val="-1"/>
          <w:sz w:val="31"/>
          <w:szCs w:val="31"/>
          <w:lang w:eastAsia="zh-CN"/>
        </w:rPr>
        <w:t>15.85</w:t>
      </w:r>
      <w:r>
        <w:rPr>
          <w:rFonts w:ascii="宋体" w:eastAsia="宋体" w:hAnsi="宋体" w:cs="宋体"/>
          <w:spacing w:val="-1"/>
          <w:sz w:val="31"/>
          <w:szCs w:val="31"/>
          <w:lang w:eastAsia="zh-CN"/>
        </w:rPr>
        <w:t>%</w:t>
      </w:r>
      <w:r>
        <w:rPr>
          <w:rFonts w:ascii="宋体" w:eastAsia="宋体" w:hAnsi="宋体" w:cs="宋体" w:hint="eastAsia"/>
          <w:spacing w:val="-1"/>
          <w:sz w:val="31"/>
          <w:szCs w:val="31"/>
          <w:lang w:eastAsia="zh-CN"/>
        </w:rPr>
        <w:t>、15.90%</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2023年减</w:t>
      </w:r>
      <w:r>
        <w:rPr>
          <w:rFonts w:ascii="仿宋" w:eastAsia="仿宋" w:hAnsi="仿宋" w:cs="仿宋" w:hint="eastAsia"/>
          <w:spacing w:val="-9"/>
          <w:sz w:val="31"/>
          <w:szCs w:val="31"/>
          <w:lang w:eastAsia="zh-CN"/>
        </w:rPr>
        <w:t>少了省一体化政务服务平台运维服务费。</w:t>
      </w:r>
    </w:p>
    <w:p w:rsidR="00A441D2" w:rsidRDefault="00597AB1">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A441D2" w:rsidRDefault="00597AB1">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A441D2" w:rsidRDefault="00597AB1">
      <w:pPr>
        <w:spacing w:before="248" w:line="362" w:lineRule="auto"/>
        <w:ind w:left="23" w:right="86" w:firstLine="648"/>
        <w:rPr>
          <w:rFonts w:ascii="宋体" w:eastAsia="宋体" w:hAnsi="宋体" w:cs="宋体"/>
          <w:spacing w:val="6"/>
          <w:sz w:val="31"/>
          <w:szCs w:val="31"/>
          <w:lang w:eastAsia="zh-CN"/>
        </w:rPr>
      </w:pPr>
      <w:r>
        <w:rPr>
          <w:rFonts w:ascii="宋体" w:eastAsia="宋体" w:hAnsi="宋体" w:cs="宋体"/>
          <w:spacing w:val="6"/>
          <w:sz w:val="31"/>
          <w:szCs w:val="31"/>
          <w:lang w:eastAsia="zh-CN"/>
        </w:rPr>
        <w:t>2023 年度一般公共预算财政拨款支出</w:t>
      </w:r>
      <w:r>
        <w:rPr>
          <w:rFonts w:ascii="宋体" w:eastAsia="宋体" w:hAnsi="宋体" w:cs="宋体" w:hint="eastAsia"/>
          <w:spacing w:val="6"/>
          <w:sz w:val="31"/>
          <w:szCs w:val="31"/>
          <w:lang w:eastAsia="zh-CN"/>
        </w:rPr>
        <w:t>2,357.73</w:t>
      </w:r>
      <w:r>
        <w:rPr>
          <w:rFonts w:ascii="宋体" w:eastAsia="宋体" w:hAnsi="宋体" w:cs="宋体"/>
          <w:spacing w:val="6"/>
          <w:sz w:val="31"/>
          <w:szCs w:val="31"/>
          <w:lang w:eastAsia="zh-CN"/>
        </w:rPr>
        <w:t>万元，占本年支出合计的</w:t>
      </w:r>
      <w:r>
        <w:rPr>
          <w:rFonts w:ascii="宋体" w:eastAsia="宋体" w:hAnsi="宋体" w:cs="宋体" w:hint="eastAsia"/>
          <w:spacing w:val="6"/>
          <w:sz w:val="31"/>
          <w:szCs w:val="31"/>
          <w:lang w:eastAsia="zh-CN"/>
        </w:rPr>
        <w:t>100</w:t>
      </w:r>
      <w:r>
        <w:rPr>
          <w:rFonts w:ascii="宋体" w:eastAsia="宋体" w:hAnsi="宋体" w:cs="宋体"/>
          <w:spacing w:val="6"/>
          <w:sz w:val="31"/>
          <w:szCs w:val="31"/>
          <w:lang w:eastAsia="zh-CN"/>
        </w:rPr>
        <w:t>%。与2022年度相比，一般公共预算财政拨款支出减少</w:t>
      </w:r>
      <w:r>
        <w:rPr>
          <w:rFonts w:ascii="宋体" w:eastAsia="宋体" w:hAnsi="宋体" w:cs="宋体" w:hint="eastAsia"/>
          <w:spacing w:val="6"/>
          <w:sz w:val="31"/>
          <w:szCs w:val="31"/>
          <w:lang w:eastAsia="zh-CN"/>
        </w:rPr>
        <w:t>445.67</w:t>
      </w:r>
      <w:r>
        <w:rPr>
          <w:rFonts w:ascii="宋体" w:eastAsia="宋体" w:hAnsi="宋体" w:cs="宋体"/>
          <w:spacing w:val="6"/>
          <w:sz w:val="31"/>
          <w:szCs w:val="31"/>
          <w:lang w:eastAsia="zh-CN"/>
        </w:rPr>
        <w:t>万元，降低</w:t>
      </w:r>
      <w:r>
        <w:rPr>
          <w:rFonts w:ascii="宋体" w:eastAsia="宋体" w:hAnsi="宋体" w:cs="宋体" w:hint="eastAsia"/>
          <w:spacing w:val="6"/>
          <w:sz w:val="31"/>
          <w:szCs w:val="31"/>
          <w:lang w:eastAsia="zh-CN"/>
        </w:rPr>
        <w:t>15.9</w:t>
      </w:r>
      <w:r>
        <w:rPr>
          <w:rFonts w:ascii="宋体" w:eastAsia="宋体" w:hAnsi="宋体" w:cs="宋体"/>
          <w:spacing w:val="6"/>
          <w:sz w:val="31"/>
          <w:szCs w:val="31"/>
          <w:lang w:eastAsia="zh-CN"/>
        </w:rPr>
        <w:t>%。主要原因：</w:t>
      </w:r>
      <w:r>
        <w:rPr>
          <w:rFonts w:ascii="宋体" w:eastAsia="宋体" w:hAnsi="宋体" w:cs="宋体" w:hint="eastAsia"/>
          <w:spacing w:val="6"/>
          <w:sz w:val="31"/>
          <w:szCs w:val="31"/>
          <w:lang w:eastAsia="zh-CN"/>
        </w:rPr>
        <w:t>2023年减少了省一体化政务服务平台运维服务费。</w:t>
      </w:r>
    </w:p>
    <w:p w:rsidR="00A441D2" w:rsidRDefault="00597AB1">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A441D2" w:rsidRDefault="00597AB1">
      <w:pPr>
        <w:spacing w:before="251" w:line="364" w:lineRule="auto"/>
        <w:ind w:left="68" w:right="7" w:firstLine="603"/>
        <w:jc w:val="both"/>
        <w:rPr>
          <w:rFonts w:ascii="仿宋" w:eastAsia="仿宋" w:hAnsi="仿宋" w:cs="仿宋"/>
          <w:spacing w:val="-6"/>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年度一般公共预算财政拨款支出</w:t>
      </w:r>
      <w:r>
        <w:rPr>
          <w:rFonts w:ascii="仿宋" w:eastAsia="仿宋" w:hAnsi="仿宋" w:cs="仿宋" w:hint="eastAsia"/>
          <w:spacing w:val="4"/>
          <w:sz w:val="31"/>
          <w:szCs w:val="31"/>
          <w:lang w:eastAsia="zh-CN"/>
        </w:rPr>
        <w:t>2,357.73</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以下方面：一</w:t>
      </w:r>
      <w:r>
        <w:rPr>
          <w:rFonts w:ascii="仿宋" w:eastAsia="仿宋" w:hAnsi="仿宋" w:cs="仿宋" w:hint="eastAsia"/>
          <w:spacing w:val="-6"/>
          <w:sz w:val="31"/>
          <w:szCs w:val="31"/>
          <w:lang w:eastAsia="zh-CN"/>
        </w:rPr>
        <w:t>般公共服务（类）支出2,327.63万元，占98.72%；住房保障（类）支出30.11万元，占1.28%。</w:t>
      </w:r>
    </w:p>
    <w:p w:rsidR="00A441D2" w:rsidRDefault="00A441D2">
      <w:pPr>
        <w:spacing w:before="49" w:line="356" w:lineRule="auto"/>
        <w:ind w:left="29" w:right="91" w:firstLine="645"/>
        <w:rPr>
          <w:rFonts w:ascii="仿宋" w:eastAsia="仿宋" w:hAnsi="仿宋" w:cs="仿宋"/>
          <w:sz w:val="31"/>
          <w:szCs w:val="31"/>
          <w:lang w:eastAsia="zh-CN"/>
        </w:rPr>
      </w:pPr>
    </w:p>
    <w:p w:rsidR="00A441D2" w:rsidRDefault="00597AB1">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A441D2" w:rsidRDefault="00597AB1">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lastRenderedPageBreak/>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2360</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2,357.73</w:t>
      </w:r>
      <w:r>
        <w:rPr>
          <w:rFonts w:ascii="仿宋" w:eastAsia="仿宋" w:hAnsi="仿宋" w:cs="仿宋"/>
          <w:spacing w:val="4"/>
          <w:sz w:val="31"/>
          <w:szCs w:val="31"/>
          <w:lang w:eastAsia="zh-CN"/>
        </w:rPr>
        <w:t xml:space="preserve">万元，完成年初预算的  </w:t>
      </w:r>
      <w:r>
        <w:rPr>
          <w:rFonts w:ascii="仿宋" w:eastAsia="仿宋" w:hAnsi="仿宋" w:cs="仿宋" w:hint="eastAsia"/>
          <w:spacing w:val="4"/>
          <w:sz w:val="31"/>
          <w:szCs w:val="31"/>
          <w:lang w:eastAsia="zh-CN"/>
        </w:rPr>
        <w:t>99.90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spacing w:val="12"/>
          <w:sz w:val="31"/>
          <w:szCs w:val="31"/>
          <w:lang w:eastAsia="zh-CN"/>
        </w:rPr>
        <w:t>1.</w:t>
      </w:r>
      <w:r>
        <w:rPr>
          <w:rFonts w:ascii="仿宋" w:eastAsia="仿宋" w:hAnsi="仿宋" w:cs="仿宋" w:hint="eastAsia"/>
          <w:spacing w:val="12"/>
          <w:sz w:val="31"/>
          <w:szCs w:val="31"/>
          <w:lang w:eastAsia="zh-CN"/>
        </w:rPr>
        <w:t>一般公共服务支出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政府办公厅（室）及相关机构事务</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行政运行</w:t>
      </w:r>
      <w:r>
        <w:rPr>
          <w:rFonts w:ascii="仿宋" w:eastAsia="仿宋" w:hAnsi="仿宋" w:cs="仿宋"/>
          <w:spacing w:val="12"/>
          <w:sz w:val="31"/>
          <w:szCs w:val="31"/>
          <w:lang w:eastAsia="zh-CN"/>
        </w:rPr>
        <w:t>（项）。年初预算为</w:t>
      </w:r>
      <w:r>
        <w:rPr>
          <w:rFonts w:ascii="仿宋" w:eastAsia="仿宋" w:hAnsi="仿宋" w:cs="仿宋" w:hint="eastAsia"/>
          <w:spacing w:val="12"/>
          <w:sz w:val="31"/>
          <w:szCs w:val="31"/>
          <w:lang w:eastAsia="zh-CN"/>
        </w:rPr>
        <w:t>1322</w:t>
      </w:r>
      <w:r>
        <w:rPr>
          <w:rFonts w:ascii="仿宋" w:eastAsia="仿宋" w:hAnsi="仿宋" w:cs="仿宋"/>
          <w:spacing w:val="12"/>
          <w:sz w:val="31"/>
          <w:szCs w:val="31"/>
          <w:lang w:eastAsia="zh-CN"/>
        </w:rPr>
        <w:t>万元，支出决算为</w:t>
      </w:r>
      <w:r>
        <w:rPr>
          <w:rFonts w:ascii="仿宋" w:eastAsia="仿宋" w:hAnsi="仿宋" w:cs="仿宋" w:hint="eastAsia"/>
          <w:spacing w:val="12"/>
          <w:sz w:val="31"/>
          <w:szCs w:val="31"/>
          <w:lang w:eastAsia="zh-CN"/>
        </w:rPr>
        <w:t>1,321.89</w:t>
      </w:r>
      <w:r>
        <w:rPr>
          <w:rFonts w:ascii="仿宋" w:eastAsia="仿宋" w:hAnsi="仿宋" w:cs="仿宋"/>
          <w:spacing w:val="12"/>
          <w:sz w:val="31"/>
          <w:szCs w:val="31"/>
          <w:lang w:eastAsia="zh-CN"/>
        </w:rPr>
        <w:t xml:space="preserve">万元，完成年初预算 的 </w:t>
      </w:r>
      <w:r>
        <w:rPr>
          <w:rFonts w:ascii="仿宋" w:eastAsia="仿宋" w:hAnsi="仿宋" w:cs="仿宋" w:hint="eastAsia"/>
          <w:spacing w:val="12"/>
          <w:sz w:val="31"/>
          <w:szCs w:val="31"/>
          <w:lang w:eastAsia="zh-CN"/>
        </w:rPr>
        <w:t>99.99</w:t>
      </w:r>
      <w:r>
        <w:rPr>
          <w:rFonts w:ascii="仿宋" w:eastAsia="仿宋" w:hAnsi="仿宋" w:cs="仿宋"/>
          <w:spacing w:val="12"/>
          <w:sz w:val="31"/>
          <w:szCs w:val="31"/>
          <w:lang w:eastAsia="zh-CN"/>
        </w:rPr>
        <w:t xml:space="preserve"> %。决算数于预算数</w:t>
      </w:r>
      <w:r>
        <w:rPr>
          <w:rFonts w:ascii="仿宋" w:eastAsia="仿宋" w:hAnsi="仿宋" w:cs="仿宋" w:hint="eastAsia"/>
          <w:spacing w:val="12"/>
          <w:sz w:val="31"/>
          <w:szCs w:val="31"/>
          <w:lang w:eastAsia="zh-CN"/>
        </w:rPr>
        <w:t>基本持平。</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spacing w:val="12"/>
          <w:sz w:val="31"/>
          <w:szCs w:val="31"/>
          <w:lang w:eastAsia="zh-CN"/>
        </w:rPr>
        <w:t>2</w:t>
      </w:r>
      <w:r>
        <w:rPr>
          <w:rFonts w:ascii="仿宋" w:eastAsia="仿宋" w:hAnsi="仿宋" w:cs="仿宋" w:hint="eastAsia"/>
          <w:spacing w:val="12"/>
          <w:sz w:val="31"/>
          <w:szCs w:val="31"/>
          <w:lang w:eastAsia="zh-CN"/>
        </w:rPr>
        <w:t>.一般公共服务支出（类）政府办公厅（室）及相关机构事务（款）一般行政管理事务（项）。年初预算为944万元，支出决算为943.35万元，完成年初预算的99.93%。</w:t>
      </w:r>
      <w:r>
        <w:rPr>
          <w:rFonts w:ascii="仿宋" w:eastAsia="仿宋" w:hAnsi="仿宋" w:cs="仿宋"/>
          <w:spacing w:val="12"/>
          <w:sz w:val="31"/>
          <w:szCs w:val="31"/>
          <w:lang w:eastAsia="zh-CN"/>
        </w:rPr>
        <w:t>决算数于预算数</w:t>
      </w:r>
      <w:r>
        <w:rPr>
          <w:rFonts w:ascii="仿宋" w:eastAsia="仿宋" w:hAnsi="仿宋" w:cs="仿宋" w:hint="eastAsia"/>
          <w:spacing w:val="12"/>
          <w:sz w:val="31"/>
          <w:szCs w:val="31"/>
          <w:lang w:eastAsia="zh-CN"/>
        </w:rPr>
        <w:t>基本持平。</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3. 一般公共服务支出（类）政府办公厅（室）及相关机构事务（款）事业运行（项）。 年初预算为63万元，支出决算为62.39万元， 完成年初预算 的 99.03 %。</w:t>
      </w:r>
      <w:r>
        <w:rPr>
          <w:rFonts w:ascii="仿宋" w:eastAsia="仿宋" w:hAnsi="仿宋" w:cs="仿宋"/>
          <w:spacing w:val="12"/>
          <w:sz w:val="31"/>
          <w:szCs w:val="31"/>
          <w:lang w:eastAsia="zh-CN"/>
        </w:rPr>
        <w:t>决算数于预算数</w:t>
      </w:r>
      <w:r>
        <w:rPr>
          <w:rFonts w:ascii="仿宋" w:eastAsia="仿宋" w:hAnsi="仿宋" w:cs="仿宋" w:hint="eastAsia"/>
          <w:spacing w:val="12"/>
          <w:sz w:val="31"/>
          <w:szCs w:val="31"/>
          <w:lang w:eastAsia="zh-CN"/>
        </w:rPr>
        <w:t>基本持平。</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4.住房保障支出（类）住房改革支出（款）住房公积金支出（项）年初预算为31万元，支出决算为30.11万元，完成年初预算的97.12%，</w:t>
      </w:r>
      <w:r>
        <w:rPr>
          <w:rFonts w:ascii="仿宋" w:eastAsia="仿宋" w:hAnsi="仿宋" w:cs="仿宋"/>
          <w:spacing w:val="12"/>
          <w:sz w:val="31"/>
          <w:szCs w:val="31"/>
          <w:lang w:eastAsia="zh-CN"/>
        </w:rPr>
        <w:t>决算数于预算数</w:t>
      </w:r>
      <w:r>
        <w:rPr>
          <w:rFonts w:ascii="仿宋" w:eastAsia="仿宋" w:hAnsi="仿宋" w:cs="仿宋" w:hint="eastAsia"/>
          <w:spacing w:val="12"/>
          <w:sz w:val="31"/>
          <w:szCs w:val="31"/>
          <w:lang w:eastAsia="zh-CN"/>
        </w:rPr>
        <w:t>基本持平。</w:t>
      </w:r>
    </w:p>
    <w:p w:rsidR="00A441D2" w:rsidRDefault="00A441D2">
      <w:pPr>
        <w:pStyle w:val="a3"/>
        <w:spacing w:line="256" w:lineRule="auto"/>
        <w:rPr>
          <w:lang w:eastAsia="zh-CN"/>
        </w:rPr>
      </w:pPr>
    </w:p>
    <w:p w:rsidR="00A441D2" w:rsidRDefault="00597AB1">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A441D2" w:rsidRDefault="00597AB1">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2023</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1,414.39</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A441D2" w:rsidRDefault="00597AB1">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人员经费</w:t>
      </w:r>
      <w:r>
        <w:rPr>
          <w:rFonts w:ascii="仿宋" w:eastAsia="仿宋" w:hAnsi="仿宋" w:cs="仿宋" w:hint="eastAsia"/>
          <w:spacing w:val="7"/>
          <w:sz w:val="31"/>
          <w:szCs w:val="31"/>
          <w:lang w:eastAsia="zh-CN"/>
        </w:rPr>
        <w:t>305.40</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 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A441D2" w:rsidRDefault="00597AB1" w:rsidP="000D4AD2">
      <w:pPr>
        <w:spacing w:before="158" w:line="356" w:lineRule="auto"/>
        <w:ind w:leftChars="19" w:left="40" w:right="161" w:firstLineChars="250" w:firstLine="776"/>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1,108.99</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A441D2" w:rsidRDefault="00A441D2">
      <w:pPr>
        <w:pStyle w:val="a3"/>
        <w:spacing w:line="256" w:lineRule="auto"/>
        <w:rPr>
          <w:lang w:eastAsia="zh-CN"/>
        </w:rPr>
      </w:pPr>
    </w:p>
    <w:p w:rsidR="00A441D2" w:rsidRDefault="00A441D2">
      <w:pPr>
        <w:pStyle w:val="a3"/>
        <w:spacing w:line="256" w:lineRule="auto"/>
        <w:rPr>
          <w:lang w:eastAsia="zh-CN"/>
        </w:rPr>
      </w:pPr>
    </w:p>
    <w:p w:rsidR="00A441D2" w:rsidRDefault="00597AB1" w:rsidP="000D4AD2">
      <w:pPr>
        <w:pStyle w:val="a3"/>
        <w:spacing w:line="287" w:lineRule="auto"/>
        <w:ind w:firstLineChars="200" w:firstLine="640"/>
        <w:rPr>
          <w:rFonts w:ascii="仿宋" w:eastAsia="仿宋" w:hAnsi="仿宋" w:cs="仿宋"/>
          <w:b/>
          <w:bCs/>
          <w:spacing w:val="9"/>
          <w:sz w:val="31"/>
          <w:szCs w:val="31"/>
          <w:lang w:eastAsia="zh-CN"/>
        </w:rPr>
      </w:pPr>
      <w:r>
        <w:rPr>
          <w:rFonts w:ascii="仿宋" w:eastAsia="仿宋" w:hAnsi="仿宋" w:cs="仿宋" w:hint="eastAsia"/>
          <w:b/>
          <w:bCs/>
          <w:spacing w:val="9"/>
          <w:sz w:val="31"/>
          <w:szCs w:val="31"/>
          <w:lang w:eastAsia="zh-CN"/>
        </w:rPr>
        <w:t>七、政府性基金预算财政拨款收入支出决算情况说明</w:t>
      </w:r>
    </w:p>
    <w:p w:rsidR="00BB1536" w:rsidRDefault="00BB1536" w:rsidP="00BB1536">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0D4AD2" w:rsidRPr="00BB1536" w:rsidRDefault="000D4AD2">
      <w:pPr>
        <w:pStyle w:val="a3"/>
        <w:spacing w:line="287" w:lineRule="auto"/>
        <w:rPr>
          <w:rFonts w:ascii="仿宋" w:eastAsia="仿宋" w:hAnsi="仿宋" w:cs="仿宋"/>
          <w:b/>
          <w:bCs/>
          <w:spacing w:val="9"/>
          <w:sz w:val="31"/>
          <w:szCs w:val="31"/>
          <w:lang w:eastAsia="zh-CN"/>
        </w:rPr>
      </w:pPr>
    </w:p>
    <w:p w:rsidR="00A441D2" w:rsidRDefault="00597AB1" w:rsidP="000D4AD2">
      <w:pPr>
        <w:pStyle w:val="a3"/>
        <w:spacing w:line="287" w:lineRule="auto"/>
        <w:ind w:firstLineChars="200" w:firstLine="640"/>
        <w:rPr>
          <w:rFonts w:ascii="仿宋" w:eastAsia="仿宋" w:hAnsi="仿宋" w:cs="仿宋"/>
          <w:b/>
          <w:bCs/>
          <w:spacing w:val="9"/>
          <w:sz w:val="31"/>
          <w:szCs w:val="31"/>
          <w:lang w:eastAsia="zh-CN"/>
        </w:rPr>
      </w:pPr>
      <w:r>
        <w:rPr>
          <w:rFonts w:ascii="仿宋" w:eastAsia="仿宋" w:hAnsi="仿宋" w:cs="仿宋" w:hint="eastAsia"/>
          <w:b/>
          <w:bCs/>
          <w:spacing w:val="9"/>
          <w:sz w:val="31"/>
          <w:szCs w:val="31"/>
          <w:lang w:eastAsia="zh-CN"/>
        </w:rPr>
        <w:lastRenderedPageBreak/>
        <w:t>八、国有资本经营预算财政拨款支出决算情况说明</w:t>
      </w:r>
    </w:p>
    <w:p w:rsidR="00BB1536" w:rsidRDefault="00BB1536" w:rsidP="00BB1536">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A441D2" w:rsidRPr="00BB1536" w:rsidRDefault="00A441D2">
      <w:pPr>
        <w:pStyle w:val="a3"/>
        <w:spacing w:line="287" w:lineRule="auto"/>
        <w:rPr>
          <w:rFonts w:ascii="仿宋" w:eastAsia="仿宋" w:hAnsi="仿宋" w:cs="仿宋"/>
          <w:spacing w:val="9"/>
          <w:sz w:val="31"/>
          <w:szCs w:val="31"/>
          <w:lang w:eastAsia="zh-CN"/>
        </w:rPr>
      </w:pPr>
    </w:p>
    <w:p w:rsidR="00A441D2" w:rsidRDefault="00597AB1" w:rsidP="000D4AD2">
      <w:pPr>
        <w:pStyle w:val="a3"/>
        <w:spacing w:line="287" w:lineRule="auto"/>
        <w:ind w:firstLineChars="200" w:firstLine="640"/>
        <w:rPr>
          <w:rFonts w:ascii="仿宋" w:eastAsia="仿宋" w:hAnsi="仿宋" w:cs="仿宋"/>
          <w:b/>
          <w:bCs/>
          <w:spacing w:val="9"/>
          <w:sz w:val="31"/>
          <w:szCs w:val="31"/>
          <w:lang w:eastAsia="zh-CN"/>
        </w:rPr>
      </w:pPr>
      <w:r>
        <w:rPr>
          <w:rFonts w:ascii="仿宋" w:eastAsia="仿宋" w:hAnsi="仿宋" w:cs="仿宋" w:hint="eastAsia"/>
          <w:b/>
          <w:bCs/>
          <w:spacing w:val="9"/>
          <w:sz w:val="31"/>
          <w:szCs w:val="31"/>
          <w:lang w:eastAsia="zh-CN"/>
        </w:rPr>
        <w:t>九、财政拨款“三公”经费支出决算情况说明</w:t>
      </w:r>
    </w:p>
    <w:p w:rsidR="00A441D2" w:rsidRDefault="00A441D2">
      <w:pPr>
        <w:pStyle w:val="a3"/>
        <w:spacing w:line="287" w:lineRule="auto"/>
        <w:rPr>
          <w:rFonts w:ascii="仿宋" w:eastAsia="仿宋" w:hAnsi="仿宋" w:cs="仿宋"/>
          <w:spacing w:val="9"/>
          <w:sz w:val="31"/>
          <w:szCs w:val="31"/>
          <w:lang w:eastAsia="zh-CN"/>
        </w:rPr>
      </w:pPr>
    </w:p>
    <w:p w:rsidR="00BB1536" w:rsidRDefault="00BB1536" w:rsidP="00BB1536">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BB1536" w:rsidRDefault="00BB1536" w:rsidP="00BB1536">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BB1536" w:rsidRDefault="00BB1536" w:rsidP="00BB1536">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BB1536" w:rsidRDefault="00BB1536" w:rsidP="00BB1536">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BB1536" w:rsidRDefault="00BB1536" w:rsidP="00BB1536">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BB1536" w:rsidRDefault="00BB1536" w:rsidP="00BB1536">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BB1536" w:rsidRDefault="00BB1536" w:rsidP="00BB1536">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BB1536" w:rsidRDefault="00BB1536" w:rsidP="00BB1536">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BB1536" w:rsidRDefault="00BB1536" w:rsidP="00BB1536">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lastRenderedPageBreak/>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BB1536" w:rsidRDefault="00BB1536" w:rsidP="00BB1536">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BB1536" w:rsidRDefault="00BB1536" w:rsidP="00BB1536">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A441D2" w:rsidRDefault="00597AB1">
      <w:pPr>
        <w:spacing w:before="248" w:line="357" w:lineRule="auto"/>
        <w:ind w:left="38" w:right="86" w:firstLine="633"/>
        <w:rPr>
          <w:rFonts w:ascii="仿宋" w:eastAsia="仿宋" w:hAnsi="仿宋" w:cs="仿宋"/>
          <w:b/>
          <w:bCs/>
          <w:spacing w:val="12"/>
          <w:sz w:val="31"/>
          <w:szCs w:val="31"/>
          <w:lang w:eastAsia="zh-CN"/>
        </w:rPr>
      </w:pPr>
      <w:r>
        <w:rPr>
          <w:rFonts w:ascii="仿宋" w:eastAsia="仿宋" w:hAnsi="仿宋" w:cs="仿宋" w:hint="eastAsia"/>
          <w:b/>
          <w:bCs/>
          <w:spacing w:val="12"/>
          <w:sz w:val="31"/>
          <w:szCs w:val="31"/>
          <w:lang w:eastAsia="zh-CN"/>
        </w:rPr>
        <w:t>十、关于 2023 年度绩效评价情况说明</w:t>
      </w:r>
    </w:p>
    <w:p w:rsidR="00BB1536" w:rsidRDefault="00BB1536" w:rsidP="00BB1536">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3年度部门预算南关区电子政务外网通讯等1个一级项目进行了绩效自评，共涉及资金203.00万元，绩效自评率为22</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3年度部门预算南关区电子政务外网通讯等1个二级项目进行了绩效自评，共涉及资金203.00万元，绩效自评率为22</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BB1536" w:rsidRDefault="00BB1536" w:rsidP="00BB1536">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“南关区电子政务外网通讯”</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203.00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BB1536" w:rsidRDefault="00BB1536" w:rsidP="00BB1536">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203.00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BB1536" w:rsidRDefault="00BB1536" w:rsidP="00BB1536">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南关区电子政务外网通讯</w:t>
      </w:r>
      <w:r>
        <w:rPr>
          <w:rFonts w:ascii="仿宋" w:eastAsia="仿宋" w:hAnsi="仿宋" w:cs="仿宋" w:hint="eastAsia"/>
          <w:spacing w:val="-4"/>
          <w:sz w:val="31"/>
          <w:szCs w:val="31"/>
          <w:lang w:eastAsia="zh-CN"/>
        </w:rPr>
        <w:t>等绩效目标”，该项目自评得分100分。项目全年预算数</w:t>
      </w:r>
      <w:r>
        <w:rPr>
          <w:rFonts w:ascii="仿宋" w:eastAsia="仿宋" w:hAnsi="仿宋" w:cs="仿宋" w:hint="eastAsia"/>
          <w:spacing w:val="5"/>
          <w:sz w:val="31"/>
          <w:szCs w:val="31"/>
          <w:lang w:eastAsia="zh-CN"/>
        </w:rPr>
        <w:t>203.00</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203.00</w:t>
      </w:r>
      <w:r>
        <w:rPr>
          <w:rFonts w:ascii="仿宋" w:eastAsia="仿宋" w:hAnsi="仿宋" w:cs="仿宋" w:hint="eastAsia"/>
          <w:spacing w:val="-4"/>
          <w:sz w:val="31"/>
          <w:szCs w:val="31"/>
          <w:lang w:eastAsia="zh-CN"/>
        </w:rPr>
        <w:lastRenderedPageBreak/>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BB1536" w:rsidRDefault="00BB1536" w:rsidP="00BB1536">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“南关区电子政务外网通讯</w:t>
      </w:r>
      <w:r>
        <w:rPr>
          <w:rFonts w:ascii="仿宋" w:eastAsia="仿宋" w:hAnsi="仿宋" w:cs="仿宋" w:hint="eastAsia"/>
          <w:spacing w:val="-4"/>
          <w:sz w:val="31"/>
          <w:szCs w:val="31"/>
          <w:lang w:eastAsia="zh-CN"/>
        </w:rPr>
        <w:t>等绩效目标</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BB1536" w:rsidRDefault="00BB1536" w:rsidP="00BB1536">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BB1536" w:rsidRDefault="00BB1536" w:rsidP="00BB1536">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A441D2" w:rsidRPr="000D4AD2" w:rsidRDefault="00597AB1">
      <w:pPr>
        <w:spacing w:before="248" w:line="357" w:lineRule="auto"/>
        <w:ind w:left="38" w:right="86" w:firstLine="633"/>
        <w:rPr>
          <w:rFonts w:ascii="仿宋" w:eastAsia="仿宋" w:hAnsi="仿宋" w:cs="仿宋"/>
          <w:b/>
          <w:spacing w:val="12"/>
          <w:sz w:val="31"/>
          <w:szCs w:val="31"/>
          <w:lang w:eastAsia="zh-CN"/>
        </w:rPr>
      </w:pPr>
      <w:r w:rsidRPr="000D4AD2">
        <w:rPr>
          <w:rFonts w:ascii="仿宋" w:eastAsia="仿宋" w:hAnsi="仿宋" w:cs="仿宋" w:hint="eastAsia"/>
          <w:b/>
          <w:spacing w:val="12"/>
          <w:sz w:val="31"/>
          <w:szCs w:val="31"/>
          <w:lang w:eastAsia="zh-CN"/>
        </w:rPr>
        <w:t>十一、其他重要事项情况说明</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 一）机关运行经费执行情况说明</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2023年度，机关运行经费支出1,108.99万元，比年初预算数增加374.58万元。</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（二）政府采购支出情况说明</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2023年度，政府采购支出总额</w:t>
      </w:r>
      <w:r w:rsidR="00BB1536">
        <w:rPr>
          <w:rFonts w:ascii="仿宋" w:eastAsia="仿宋" w:hAnsi="仿宋" w:cs="仿宋" w:hint="eastAsia"/>
          <w:spacing w:val="12"/>
          <w:sz w:val="31"/>
          <w:szCs w:val="31"/>
          <w:lang w:eastAsia="zh-CN"/>
        </w:rPr>
        <w:t>873</w:t>
      </w:r>
      <w:r>
        <w:rPr>
          <w:rFonts w:ascii="仿宋" w:eastAsia="仿宋" w:hAnsi="仿宋" w:cs="仿宋" w:hint="eastAsia"/>
          <w:spacing w:val="12"/>
          <w:sz w:val="31"/>
          <w:szCs w:val="31"/>
          <w:lang w:eastAsia="zh-CN"/>
        </w:rPr>
        <w:t>万元，其中：政府采购货物支出0万元、政府采购工程支出</w:t>
      </w:r>
      <w:r w:rsidR="00BB1536">
        <w:rPr>
          <w:rFonts w:ascii="仿宋" w:eastAsia="仿宋" w:hAnsi="仿宋" w:cs="仿宋" w:hint="eastAsia"/>
          <w:spacing w:val="12"/>
          <w:sz w:val="31"/>
          <w:szCs w:val="31"/>
          <w:lang w:eastAsia="zh-CN"/>
        </w:rPr>
        <w:t>157</w:t>
      </w:r>
      <w:r>
        <w:rPr>
          <w:rFonts w:ascii="仿宋" w:eastAsia="仿宋" w:hAnsi="仿宋" w:cs="仿宋" w:hint="eastAsia"/>
          <w:spacing w:val="12"/>
          <w:sz w:val="31"/>
          <w:szCs w:val="31"/>
          <w:lang w:eastAsia="zh-CN"/>
        </w:rPr>
        <w:t>万元、政府采购服务支出</w:t>
      </w:r>
      <w:r w:rsidR="00BB1536">
        <w:rPr>
          <w:rFonts w:ascii="仿宋" w:eastAsia="仿宋" w:hAnsi="仿宋" w:cs="仿宋" w:hint="eastAsia"/>
          <w:spacing w:val="12"/>
          <w:sz w:val="31"/>
          <w:szCs w:val="31"/>
          <w:lang w:eastAsia="zh-CN"/>
        </w:rPr>
        <w:t>716</w:t>
      </w:r>
      <w:r>
        <w:rPr>
          <w:rFonts w:ascii="仿宋" w:eastAsia="仿宋" w:hAnsi="仿宋" w:cs="仿宋" w:hint="eastAsia"/>
          <w:spacing w:val="12"/>
          <w:sz w:val="31"/>
          <w:szCs w:val="31"/>
          <w:lang w:eastAsia="zh-CN"/>
        </w:rPr>
        <w:t>万元。授予中小企业合同金额万元，占政府采购支出总额的%，其中：授予小微企业合同金额0万元，占授予中小企业合同金额的0%；货物采购授予中小企业合同金额占货物支出金额的0%，工程采购授予中小企合同金额占工程支出金额的0%，服务采购授予中小企业合同金额占服务支出金额的0%。。</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lastRenderedPageBreak/>
        <w:t>（三）国有资产占用情况说明</w:t>
      </w:r>
    </w:p>
    <w:p w:rsidR="00A441D2" w:rsidRDefault="00597AB1">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截至2023年12月31日，长春市南关区政务服务和数字化建设管理局共有车辆0辆，其中，副部（省）级及以上领导用车0辆、主要领导干部用车0辆、机要通信用车0辆、应急保障用车0辆、执法执勤用车0辆、特种专业技术用车0辆、离退休干部用车0辆、其他用车0辆，单位价值100万元以上专用设备0台（套）。</w:t>
      </w:r>
    </w:p>
    <w:p w:rsidR="00A441D2" w:rsidRDefault="00597AB1">
      <w:pPr>
        <w:spacing w:before="225" w:line="443" w:lineRule="exact"/>
        <w:ind w:left="2186"/>
        <w:outlineLvl w:val="0"/>
        <w:rPr>
          <w:rFonts w:ascii="微软雅黑" w:eastAsia="微软雅黑" w:hAnsi="微软雅黑" w:cs="微软雅黑"/>
          <w:sz w:val="44"/>
          <w:szCs w:val="44"/>
          <w:lang w:eastAsia="zh-CN"/>
        </w:rPr>
      </w:pPr>
      <w:bookmarkStart w:id="0" w:name="_GoBack"/>
      <w:bookmarkEnd w:id="0"/>
      <w:r>
        <w:rPr>
          <w:rFonts w:ascii="微软雅黑" w:eastAsia="微软雅黑" w:hAnsi="微软雅黑" w:cs="微软雅黑"/>
          <w:spacing w:val="-4"/>
          <w:position w:val="-2"/>
          <w:sz w:val="44"/>
          <w:szCs w:val="44"/>
          <w:lang w:eastAsia="zh-CN"/>
        </w:rPr>
        <w:t>第四部分名词解释</w:t>
      </w:r>
    </w:p>
    <w:p w:rsidR="00A441D2" w:rsidRDefault="00A441D2">
      <w:pPr>
        <w:pStyle w:val="a3"/>
        <w:spacing w:line="315" w:lineRule="auto"/>
        <w:rPr>
          <w:lang w:eastAsia="zh-CN"/>
        </w:rPr>
      </w:pPr>
    </w:p>
    <w:p w:rsidR="00A441D2" w:rsidRDefault="00A441D2">
      <w:pPr>
        <w:pStyle w:val="a3"/>
        <w:spacing w:line="315" w:lineRule="auto"/>
        <w:rPr>
          <w:lang w:eastAsia="zh-CN"/>
        </w:rPr>
      </w:pPr>
    </w:p>
    <w:p w:rsidR="00A441D2" w:rsidRDefault="00A441D2">
      <w:pPr>
        <w:pStyle w:val="a3"/>
        <w:spacing w:line="315" w:lineRule="auto"/>
        <w:rPr>
          <w:lang w:eastAsia="zh-CN"/>
        </w:rPr>
      </w:pPr>
    </w:p>
    <w:p w:rsidR="00A441D2" w:rsidRDefault="00597AB1">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A441D2" w:rsidRDefault="00597AB1">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A441D2" w:rsidRDefault="00597AB1">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A441D2" w:rsidRDefault="00597AB1">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A441D2" w:rsidRDefault="00597AB1">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A441D2" w:rsidRDefault="00597AB1">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lastRenderedPageBreak/>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A441D2" w:rsidRDefault="00597AB1">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A441D2" w:rsidRPr="000D4AD2" w:rsidRDefault="00597AB1">
      <w:pPr>
        <w:spacing w:before="249" w:line="220" w:lineRule="auto"/>
        <w:ind w:right="13"/>
        <w:jc w:val="right"/>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sidRPr="000D4AD2">
        <w:rPr>
          <w:rFonts w:ascii="仿宋" w:eastAsia="仿宋" w:hAnsi="仿宋" w:cs="仿宋"/>
          <w:spacing w:val="6"/>
          <w:sz w:val="31"/>
          <w:szCs w:val="31"/>
          <w:lang w:eastAsia="zh-CN"/>
        </w:rPr>
        <w:t>指单位以前年度尚未完成、结转</w:t>
      </w:r>
    </w:p>
    <w:p w:rsidR="00A441D2" w:rsidRPr="000D4AD2" w:rsidRDefault="00597AB1">
      <w:pPr>
        <w:spacing w:before="160" w:line="357" w:lineRule="auto"/>
        <w:ind w:left="46" w:right="189" w:hanging="6"/>
        <w:rPr>
          <w:rFonts w:ascii="仿宋" w:eastAsia="仿宋" w:hAnsi="仿宋" w:cs="仿宋"/>
          <w:spacing w:val="6"/>
          <w:sz w:val="31"/>
          <w:szCs w:val="31"/>
          <w:lang w:eastAsia="zh-CN"/>
        </w:rPr>
      </w:pPr>
      <w:r w:rsidRPr="000D4AD2">
        <w:rPr>
          <w:rFonts w:ascii="仿宋" w:eastAsia="仿宋" w:hAnsi="仿宋" w:cs="仿宋"/>
          <w:spacing w:val="6"/>
          <w:sz w:val="31"/>
          <w:szCs w:val="31"/>
          <w:lang w:eastAsia="zh-CN"/>
        </w:rPr>
        <w:t>到本年按有关规定用途继续使用的资金，或项目已完成等产生的结余资金。</w:t>
      </w:r>
    </w:p>
    <w:p w:rsidR="00A441D2" w:rsidRDefault="00597AB1">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A441D2" w:rsidRDefault="00597AB1">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A441D2" w:rsidRDefault="00597AB1">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A441D2" w:rsidRDefault="00597AB1">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A441D2" w:rsidRDefault="00597AB1">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A441D2" w:rsidRDefault="00597AB1">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A441D2" w:rsidRDefault="00597AB1">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A441D2" w:rsidRDefault="00597AB1" w:rsidP="000D4AD2">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A441D2" w:rsidRDefault="00597AB1">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A441D2" w:rsidRDefault="00A441D2">
      <w:pPr>
        <w:spacing w:before="249" w:line="355" w:lineRule="auto"/>
        <w:ind w:left="26" w:right="98" w:firstLine="648"/>
        <w:rPr>
          <w:rFonts w:ascii="仿宋" w:eastAsia="仿宋" w:hAnsi="仿宋" w:cs="仿宋"/>
          <w:sz w:val="31"/>
          <w:szCs w:val="31"/>
          <w:lang w:eastAsia="zh-CN"/>
        </w:rPr>
      </w:pPr>
    </w:p>
    <w:sectPr w:rsidR="00A441D2" w:rsidSect="00A441D2">
      <w:footerReference w:type="default" r:id="rId22"/>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0D1" w:rsidRDefault="00A260D1">
      <w:r>
        <w:separator/>
      </w:r>
    </w:p>
  </w:endnote>
  <w:endnote w:type="continuationSeparator" w:id="1">
    <w:p w:rsidR="00A260D1" w:rsidRDefault="00A26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D2" w:rsidRDefault="00597AB1">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D2" w:rsidRDefault="00597AB1">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D2" w:rsidRDefault="00597AB1">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D2" w:rsidRDefault="00597AB1">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D2" w:rsidRDefault="00597AB1">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D2" w:rsidRDefault="00597AB1">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0D1" w:rsidRDefault="00A260D1">
      <w:r>
        <w:separator/>
      </w:r>
    </w:p>
  </w:footnote>
  <w:footnote w:type="continuationSeparator" w:id="1">
    <w:p w:rsidR="00A260D1" w:rsidRDefault="00A26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1C24C8"/>
    <w:multiLevelType w:val="singleLevel"/>
    <w:tmpl w:val="BA1C24C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ZTFhZjgyODZiZTM4YTI1MzkzZTVjNWI2NDI1MzJmZGYifQ=="/>
  </w:docVars>
  <w:rsids>
    <w:rsidRoot w:val="00A441D2"/>
    <w:rsid w:val="000D4AD2"/>
    <w:rsid w:val="00597AB1"/>
    <w:rsid w:val="00A260D1"/>
    <w:rsid w:val="00A441D2"/>
    <w:rsid w:val="00BB1536"/>
    <w:rsid w:val="00E362DA"/>
    <w:rsid w:val="02F418C7"/>
    <w:rsid w:val="04E8447B"/>
    <w:rsid w:val="0A570314"/>
    <w:rsid w:val="0D780CCE"/>
    <w:rsid w:val="0FD71CDA"/>
    <w:rsid w:val="0FFD54BA"/>
    <w:rsid w:val="13C06F2A"/>
    <w:rsid w:val="16F230A8"/>
    <w:rsid w:val="1A4459F7"/>
    <w:rsid w:val="1B2E6E70"/>
    <w:rsid w:val="1B7E1BA5"/>
    <w:rsid w:val="1D855C73"/>
    <w:rsid w:val="281178FD"/>
    <w:rsid w:val="294D4A08"/>
    <w:rsid w:val="2A8A59BC"/>
    <w:rsid w:val="2B2160A9"/>
    <w:rsid w:val="2CA86A82"/>
    <w:rsid w:val="2D574DFE"/>
    <w:rsid w:val="35725E7F"/>
    <w:rsid w:val="35E2093F"/>
    <w:rsid w:val="35E87EEF"/>
    <w:rsid w:val="368816D2"/>
    <w:rsid w:val="39A048F5"/>
    <w:rsid w:val="3B1E43B3"/>
    <w:rsid w:val="3D4D3AE7"/>
    <w:rsid w:val="3DD671C7"/>
    <w:rsid w:val="3DF826DE"/>
    <w:rsid w:val="3E9414E7"/>
    <w:rsid w:val="40CC53C0"/>
    <w:rsid w:val="47BA490B"/>
    <w:rsid w:val="4B715566"/>
    <w:rsid w:val="4EF94AC3"/>
    <w:rsid w:val="53BA4F05"/>
    <w:rsid w:val="54A42FE3"/>
    <w:rsid w:val="56505911"/>
    <w:rsid w:val="5842572D"/>
    <w:rsid w:val="58C61C9D"/>
    <w:rsid w:val="5E174B58"/>
    <w:rsid w:val="65167D25"/>
    <w:rsid w:val="66CC7F22"/>
    <w:rsid w:val="699A1D68"/>
    <w:rsid w:val="6B8F438D"/>
    <w:rsid w:val="727B3A56"/>
    <w:rsid w:val="743E472A"/>
    <w:rsid w:val="76691045"/>
    <w:rsid w:val="76C17466"/>
    <w:rsid w:val="7B034450"/>
    <w:rsid w:val="7DC919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A441D2"/>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A441D2"/>
  </w:style>
  <w:style w:type="table" w:customStyle="1" w:styleId="TableNormal">
    <w:name w:val="Table Normal"/>
    <w:semiHidden/>
    <w:unhideWhenUsed/>
    <w:qFormat/>
    <w:rsid w:val="00A441D2"/>
    <w:tblPr>
      <w:tblCellMar>
        <w:top w:w="0" w:type="dxa"/>
        <w:left w:w="0" w:type="dxa"/>
        <w:bottom w:w="0" w:type="dxa"/>
        <w:right w:w="0" w:type="dxa"/>
      </w:tblCellMar>
    </w:tblPr>
  </w:style>
  <w:style w:type="paragraph" w:styleId="a4">
    <w:name w:val="header"/>
    <w:basedOn w:val="a"/>
    <w:link w:val="Char"/>
    <w:rsid w:val="000D4AD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0D4AD2"/>
    <w:rPr>
      <w:rFonts w:ascii="Arial" w:eastAsia="Arial" w:hAnsi="Arial" w:cs="Arial"/>
      <w:snapToGrid w:val="0"/>
      <w:color w:val="000000"/>
      <w:sz w:val="18"/>
      <w:szCs w:val="18"/>
      <w:lang w:eastAsia="en-US"/>
    </w:rPr>
  </w:style>
  <w:style w:type="paragraph" w:styleId="a5">
    <w:name w:val="footer"/>
    <w:basedOn w:val="a"/>
    <w:link w:val="Char0"/>
    <w:rsid w:val="000D4AD2"/>
    <w:pPr>
      <w:tabs>
        <w:tab w:val="center" w:pos="4153"/>
        <w:tab w:val="right" w:pos="8306"/>
      </w:tabs>
    </w:pPr>
    <w:rPr>
      <w:sz w:val="18"/>
      <w:szCs w:val="18"/>
    </w:rPr>
  </w:style>
  <w:style w:type="character" w:customStyle="1" w:styleId="Char0">
    <w:name w:val="页脚 Char"/>
    <w:basedOn w:val="a0"/>
    <w:link w:val="a5"/>
    <w:rsid w:val="000D4AD2"/>
    <w:rPr>
      <w:rFonts w:ascii="Arial" w:eastAsia="Arial" w:hAnsi="Arial" w:cs="Arial"/>
      <w:snapToGrid w:val="0"/>
      <w:color w:val="000000"/>
      <w:sz w:val="18"/>
      <w:szCs w:val="18"/>
      <w:lang w:eastAsia="en-US"/>
    </w:rPr>
  </w:style>
  <w:style w:type="paragraph" w:styleId="a6">
    <w:name w:val="Balloon Text"/>
    <w:basedOn w:val="a"/>
    <w:link w:val="Char1"/>
    <w:rsid w:val="000D4AD2"/>
    <w:rPr>
      <w:sz w:val="18"/>
      <w:szCs w:val="18"/>
    </w:rPr>
  </w:style>
  <w:style w:type="character" w:customStyle="1" w:styleId="Char1">
    <w:name w:val="批注框文本 Char"/>
    <w:basedOn w:val="a0"/>
    <w:link w:val="a6"/>
    <w:rsid w:val="000D4AD2"/>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4.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1016</Words>
  <Characters>5797</Characters>
  <Application>Microsoft Office Word</Application>
  <DocSecurity>0</DocSecurity>
  <Lines>48</Lines>
  <Paragraphs>13</Paragraphs>
  <ScaleCrop>false</ScaleCrop>
  <Company>Microsoft</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2024-09-10T08:32:00Z</dcterms:created>
  <dcterms:modified xsi:type="dcterms:W3CDTF">2024-09-10T08:32:00Z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2052-12.1.0.15374</vt:lpwstr>
  </property>
  <property fmtid="{D5CDD505-2E9C-101B-9397-08002B2CF9AE}" pid="5" name="ICV">
    <vt:lpwstr>30A9A1DD7D514618A5ADFA4E4B4487FF_13</vt:lpwstr>
  </property>
</Properties>
</file>