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DF2FD">
      <w:pPr>
        <w:spacing w:before="180" w:line="219" w:lineRule="auto"/>
        <w:ind w:left="4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附件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6"/>
          <w:sz w:val="28"/>
          <w:szCs w:val="28"/>
        </w:rPr>
        <w:t>1：</w:t>
      </w:r>
    </w:p>
    <w:p w14:paraId="09FA9EE6">
      <w:pPr>
        <w:pStyle w:val="2"/>
        <w:spacing w:line="251" w:lineRule="auto"/>
      </w:pPr>
    </w:p>
    <w:p w14:paraId="0B2BC558">
      <w:pPr>
        <w:pStyle w:val="2"/>
        <w:spacing w:line="251" w:lineRule="auto"/>
      </w:pPr>
    </w:p>
    <w:p w14:paraId="229358F9">
      <w:pPr>
        <w:pStyle w:val="2"/>
        <w:spacing w:line="252" w:lineRule="auto"/>
      </w:pPr>
    </w:p>
    <w:p w14:paraId="6A36B7D2">
      <w:pPr>
        <w:pStyle w:val="2"/>
        <w:spacing w:line="252" w:lineRule="auto"/>
      </w:pPr>
    </w:p>
    <w:p w14:paraId="0A8FF045">
      <w:pPr>
        <w:pStyle w:val="2"/>
        <w:spacing w:line="252" w:lineRule="auto"/>
      </w:pPr>
    </w:p>
    <w:p w14:paraId="013653E6">
      <w:pPr>
        <w:pStyle w:val="2"/>
        <w:spacing w:line="252" w:lineRule="auto"/>
      </w:pPr>
    </w:p>
    <w:p w14:paraId="35DFEE7C">
      <w:pPr>
        <w:pStyle w:val="2"/>
        <w:spacing w:line="252" w:lineRule="auto"/>
      </w:pPr>
    </w:p>
    <w:p w14:paraId="2DB92091">
      <w:pPr>
        <w:pStyle w:val="2"/>
        <w:tabs>
          <w:tab w:val="left" w:pos="3657"/>
        </w:tabs>
        <w:spacing w:line="252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ab/>
      </w:r>
    </w:p>
    <w:p w14:paraId="4097FF8D">
      <w:pPr>
        <w:pStyle w:val="2"/>
        <w:spacing w:line="252" w:lineRule="auto"/>
      </w:pPr>
    </w:p>
    <w:p w14:paraId="2B765373">
      <w:pPr>
        <w:pStyle w:val="2"/>
        <w:spacing w:line="252" w:lineRule="auto"/>
      </w:pPr>
    </w:p>
    <w:p w14:paraId="5B3AA896">
      <w:pPr>
        <w:pStyle w:val="2"/>
        <w:spacing w:line="252" w:lineRule="auto"/>
      </w:pPr>
    </w:p>
    <w:p w14:paraId="14E0AEF5">
      <w:pPr>
        <w:pStyle w:val="2"/>
        <w:spacing w:line="252" w:lineRule="auto"/>
      </w:pPr>
    </w:p>
    <w:p w14:paraId="683FB44B">
      <w:pPr>
        <w:pStyle w:val="2"/>
        <w:spacing w:line="252" w:lineRule="auto"/>
      </w:pPr>
    </w:p>
    <w:p w14:paraId="0221356B">
      <w:pPr>
        <w:spacing w:before="180" w:line="187" w:lineRule="auto"/>
        <w:ind w:left="325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2023</w:t>
      </w:r>
      <w:r>
        <w:rPr>
          <w:rFonts w:ascii="宋体" w:hAnsi="宋体" w:eastAsia="宋体" w:cs="宋体"/>
          <w:b/>
          <w:bCs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4"/>
          <w:sz w:val="42"/>
          <w:szCs w:val="42"/>
        </w:rPr>
        <w:t>年度</w:t>
      </w:r>
    </w:p>
    <w:p w14:paraId="1033E198">
      <w:pPr>
        <w:pStyle w:val="2"/>
        <w:spacing w:line="477" w:lineRule="auto"/>
      </w:pPr>
    </w:p>
    <w:p w14:paraId="2920E1BA">
      <w:pPr>
        <w:spacing w:before="189" w:line="181" w:lineRule="auto"/>
        <w:ind w:left="1099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pacing w:val="34"/>
          <w:sz w:val="44"/>
          <w:szCs w:val="44"/>
        </w:rPr>
        <w:t>长春市南关区红十字会</w:t>
      </w:r>
      <w:r>
        <w:rPr>
          <w:rFonts w:ascii="微软雅黑" w:hAnsi="微软雅黑" w:eastAsia="微软雅黑" w:cs="微软雅黑"/>
          <w:spacing w:val="34"/>
          <w:sz w:val="44"/>
          <w:szCs w:val="44"/>
        </w:rPr>
        <w:t>部门决算</w:t>
      </w:r>
    </w:p>
    <w:p w14:paraId="746DEF92">
      <w:pPr>
        <w:pStyle w:val="2"/>
        <w:spacing w:line="242" w:lineRule="auto"/>
      </w:pPr>
    </w:p>
    <w:p w14:paraId="01EDCF4F">
      <w:pPr>
        <w:pStyle w:val="2"/>
        <w:spacing w:line="242" w:lineRule="auto"/>
      </w:pPr>
    </w:p>
    <w:p w14:paraId="762AACD1">
      <w:pPr>
        <w:pStyle w:val="2"/>
        <w:spacing w:line="242" w:lineRule="auto"/>
      </w:pPr>
    </w:p>
    <w:p w14:paraId="4BFA7C84">
      <w:pPr>
        <w:pStyle w:val="2"/>
        <w:spacing w:line="242" w:lineRule="auto"/>
      </w:pPr>
    </w:p>
    <w:p w14:paraId="57E66604">
      <w:pPr>
        <w:pStyle w:val="2"/>
        <w:spacing w:line="242" w:lineRule="auto"/>
      </w:pPr>
    </w:p>
    <w:p w14:paraId="3D75FE22">
      <w:pPr>
        <w:pStyle w:val="2"/>
        <w:spacing w:line="242" w:lineRule="auto"/>
      </w:pPr>
    </w:p>
    <w:p w14:paraId="52CFF47D">
      <w:pPr>
        <w:pStyle w:val="2"/>
        <w:spacing w:line="242" w:lineRule="auto"/>
      </w:pPr>
    </w:p>
    <w:p w14:paraId="53365A7C">
      <w:pPr>
        <w:pStyle w:val="2"/>
        <w:spacing w:line="242" w:lineRule="auto"/>
      </w:pPr>
    </w:p>
    <w:p w14:paraId="7E670FEB">
      <w:pPr>
        <w:pStyle w:val="2"/>
        <w:spacing w:line="242" w:lineRule="auto"/>
      </w:pPr>
    </w:p>
    <w:p w14:paraId="7196DBF0">
      <w:pPr>
        <w:pStyle w:val="2"/>
        <w:spacing w:line="242" w:lineRule="auto"/>
      </w:pPr>
    </w:p>
    <w:p w14:paraId="4C68178F">
      <w:pPr>
        <w:pStyle w:val="2"/>
        <w:spacing w:line="242" w:lineRule="auto"/>
      </w:pPr>
    </w:p>
    <w:p w14:paraId="46B9BF4B">
      <w:pPr>
        <w:pStyle w:val="2"/>
        <w:spacing w:line="243" w:lineRule="auto"/>
      </w:pPr>
    </w:p>
    <w:p w14:paraId="4A986DCE">
      <w:pPr>
        <w:pStyle w:val="2"/>
        <w:spacing w:line="243" w:lineRule="auto"/>
      </w:pPr>
    </w:p>
    <w:p w14:paraId="7FC26AA0">
      <w:pPr>
        <w:pStyle w:val="2"/>
        <w:spacing w:line="243" w:lineRule="auto"/>
      </w:pPr>
    </w:p>
    <w:p w14:paraId="19E110DF">
      <w:pPr>
        <w:pStyle w:val="2"/>
        <w:spacing w:line="243" w:lineRule="auto"/>
      </w:pPr>
    </w:p>
    <w:p w14:paraId="7156864A">
      <w:pPr>
        <w:pStyle w:val="2"/>
        <w:spacing w:line="243" w:lineRule="auto"/>
      </w:pPr>
    </w:p>
    <w:p w14:paraId="71F407BC">
      <w:pPr>
        <w:pStyle w:val="2"/>
        <w:spacing w:line="243" w:lineRule="auto"/>
      </w:pPr>
    </w:p>
    <w:p w14:paraId="1CCF8CE4">
      <w:pPr>
        <w:pStyle w:val="2"/>
        <w:spacing w:line="243" w:lineRule="auto"/>
      </w:pPr>
    </w:p>
    <w:p w14:paraId="08FBBD8D">
      <w:pPr>
        <w:pStyle w:val="2"/>
        <w:spacing w:line="243" w:lineRule="auto"/>
      </w:pPr>
    </w:p>
    <w:p w14:paraId="11F700D8">
      <w:pPr>
        <w:pStyle w:val="2"/>
        <w:spacing w:line="243" w:lineRule="auto"/>
      </w:pPr>
    </w:p>
    <w:p w14:paraId="5F364BDF">
      <w:pPr>
        <w:spacing w:before="101" w:line="224" w:lineRule="auto"/>
        <w:ind w:left="294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2024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>8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35"/>
          <w:sz w:val="31"/>
          <w:szCs w:val="31"/>
          <w:lang w:val="en-US" w:eastAsia="zh-CN"/>
        </w:rPr>
        <w:t>29</w:t>
      </w:r>
      <w:r>
        <w:rPr>
          <w:rFonts w:ascii="仿宋" w:hAnsi="仿宋" w:eastAsia="仿宋" w:cs="仿宋"/>
          <w:spacing w:val="-6"/>
          <w:sz w:val="31"/>
          <w:szCs w:val="31"/>
        </w:rPr>
        <w:t>日</w:t>
      </w:r>
    </w:p>
    <w:p w14:paraId="31CDF9A9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FB63A98">
      <w:pPr>
        <w:pStyle w:val="2"/>
        <w:spacing w:line="289" w:lineRule="auto"/>
      </w:pPr>
    </w:p>
    <w:p w14:paraId="57914545">
      <w:pPr>
        <w:pStyle w:val="2"/>
        <w:spacing w:line="290" w:lineRule="auto"/>
      </w:pPr>
    </w:p>
    <w:p w14:paraId="3ADB3067">
      <w:pPr>
        <w:spacing w:before="140" w:line="223" w:lineRule="auto"/>
        <w:ind w:left="3502"/>
        <w:outlineLvl w:val="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49"/>
          <w:sz w:val="43"/>
          <w:szCs w:val="43"/>
        </w:rPr>
        <w:t>目</w:t>
      </w:r>
      <w:r>
        <w:rPr>
          <w:rFonts w:ascii="仿宋" w:hAnsi="仿宋" w:eastAsia="仿宋" w:cs="仿宋"/>
          <w:spacing w:val="20"/>
          <w:sz w:val="43"/>
          <w:szCs w:val="43"/>
        </w:rPr>
        <w:t xml:space="preserve">   </w:t>
      </w:r>
      <w:r>
        <w:rPr>
          <w:rFonts w:ascii="仿宋" w:hAnsi="仿宋" w:eastAsia="仿宋" w:cs="仿宋"/>
          <w:spacing w:val="-49"/>
          <w:sz w:val="43"/>
          <w:szCs w:val="43"/>
        </w:rPr>
        <w:t>录</w:t>
      </w:r>
    </w:p>
    <w:p w14:paraId="7216783A">
      <w:pPr>
        <w:pStyle w:val="2"/>
        <w:spacing w:line="341" w:lineRule="auto"/>
      </w:pPr>
    </w:p>
    <w:p w14:paraId="0304B360">
      <w:pPr>
        <w:pStyle w:val="2"/>
        <w:spacing w:line="342" w:lineRule="auto"/>
      </w:pPr>
    </w:p>
    <w:p w14:paraId="361E6D74">
      <w:pPr>
        <w:spacing w:before="101" w:line="223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第一部分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部门概况</w:t>
      </w:r>
    </w:p>
    <w:p w14:paraId="03D5B4C8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一、部门职责</w:t>
      </w:r>
    </w:p>
    <w:p w14:paraId="47B4B792">
      <w:pPr>
        <w:spacing w:before="250" w:line="222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二、机构设置及部门决算单位构成</w:t>
      </w:r>
    </w:p>
    <w:p w14:paraId="3E7DE9D8">
      <w:pPr>
        <w:spacing w:before="250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第二部分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2023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年度部门决算表</w:t>
      </w:r>
    </w:p>
    <w:p w14:paraId="7771BCED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一、收入支出决算总表</w:t>
      </w:r>
    </w:p>
    <w:p w14:paraId="6D78D573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 w14:paraId="0A5463ED">
      <w:pPr>
        <w:spacing w:before="249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 w14:paraId="3F541B17">
      <w:pPr>
        <w:spacing w:before="250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 w14:paraId="02E3DD76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 w14:paraId="2A1316FC">
      <w:pPr>
        <w:spacing w:before="250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六、一般公共预算财政拨款基本支出决算明细表</w:t>
      </w:r>
    </w:p>
    <w:p w14:paraId="5EA599E5">
      <w:pPr>
        <w:spacing w:before="25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七、政府性基金预算财政拨款收入支出决算表</w:t>
      </w:r>
    </w:p>
    <w:p w14:paraId="6E80D3CB">
      <w:pPr>
        <w:spacing w:before="252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八、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国有资本经营预算财政拨款支出决算表</w:t>
      </w:r>
    </w:p>
    <w:p w14:paraId="712077F4">
      <w:pPr>
        <w:spacing w:before="249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九、财政拨款“三公”经费支出决算表</w:t>
      </w:r>
    </w:p>
    <w:p w14:paraId="6192ED3B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十、部门预算项目支出绩效自评表</w:t>
      </w:r>
    </w:p>
    <w:p w14:paraId="5D638792">
      <w:pPr>
        <w:spacing w:before="249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第三部分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2023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年度部门决算情况说明</w:t>
      </w:r>
    </w:p>
    <w:p w14:paraId="622E8900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一、收入支出决算总体情况说明</w:t>
      </w:r>
    </w:p>
    <w:p w14:paraId="69F2EF15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</w:p>
    <w:p w14:paraId="10B32F44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</w:p>
    <w:p w14:paraId="09CE99BB">
      <w:pPr>
        <w:spacing w:before="249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四、财政拨款收入支出决算总体情况说明</w:t>
      </w:r>
    </w:p>
    <w:p w14:paraId="2CAA76A9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3EB67B92">
      <w:pPr>
        <w:spacing w:before="15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</w:p>
    <w:p w14:paraId="7DCDCBA2">
      <w:pPr>
        <w:spacing w:before="249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</w:p>
    <w:p w14:paraId="7707739A">
      <w:pPr>
        <w:spacing w:before="250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七、政府性基金预算财政拨款收入支出决算情况说明</w:t>
      </w:r>
    </w:p>
    <w:p w14:paraId="2621127A">
      <w:pPr>
        <w:spacing w:before="251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八、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国有资本经营预算财政拨款支出决算情况说明</w:t>
      </w:r>
    </w:p>
    <w:p w14:paraId="616AF928">
      <w:pPr>
        <w:spacing w:before="250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九、财政拨款“三公”经费支出决算情况说明</w:t>
      </w:r>
    </w:p>
    <w:p w14:paraId="67013134">
      <w:pPr>
        <w:spacing w:before="249" w:line="224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十、绩效评价情况说明</w:t>
      </w:r>
    </w:p>
    <w:p w14:paraId="77050BC8">
      <w:pPr>
        <w:spacing w:before="248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十一、其他重要事项情况说明</w:t>
      </w:r>
    </w:p>
    <w:p w14:paraId="46538AA4">
      <w:pPr>
        <w:spacing w:before="250" w:line="224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第四部分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名词解释</w:t>
      </w:r>
    </w:p>
    <w:p w14:paraId="06CE3BA4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364BCE63">
      <w:pPr>
        <w:pStyle w:val="2"/>
        <w:spacing w:line="328" w:lineRule="auto"/>
      </w:pPr>
    </w:p>
    <w:p w14:paraId="28A6CDB9">
      <w:pPr>
        <w:pStyle w:val="2"/>
        <w:spacing w:line="328" w:lineRule="auto"/>
      </w:pPr>
    </w:p>
    <w:p w14:paraId="2D4003B9">
      <w:pPr>
        <w:spacing w:before="189" w:line="443" w:lineRule="exact"/>
        <w:ind w:left="2215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第一部分</w:t>
      </w:r>
      <w:r>
        <w:rPr>
          <w:rFonts w:ascii="微软雅黑" w:hAnsi="微软雅黑" w:eastAsia="微软雅黑" w:cs="微软雅黑"/>
          <w:spacing w:val="1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部门概况</w:t>
      </w:r>
    </w:p>
    <w:p w14:paraId="6857176C">
      <w:pPr>
        <w:pStyle w:val="2"/>
        <w:spacing w:line="314" w:lineRule="auto"/>
      </w:pPr>
    </w:p>
    <w:p w14:paraId="72265AAE">
      <w:pPr>
        <w:pStyle w:val="2"/>
        <w:spacing w:line="314" w:lineRule="auto"/>
      </w:pPr>
    </w:p>
    <w:p w14:paraId="3D680ADA">
      <w:pPr>
        <w:pStyle w:val="2"/>
        <w:spacing w:line="315" w:lineRule="auto"/>
      </w:pPr>
    </w:p>
    <w:p w14:paraId="1478BFA9">
      <w:pPr>
        <w:spacing w:before="101" w:line="224" w:lineRule="auto"/>
        <w:ind w:left="7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一、部门主要职责</w:t>
      </w:r>
    </w:p>
    <w:p w14:paraId="578F9006">
      <w:pPr>
        <w:pStyle w:val="2"/>
        <w:spacing w:line="347" w:lineRule="auto"/>
      </w:pPr>
    </w:p>
    <w:p w14:paraId="3A48C45D">
      <w:pPr>
        <w:ind w:firstLine="640" w:firstLineChars="200"/>
        <w:rPr>
          <w:rFonts w:hint="eastAsia" w:ascii="仿宋" w:hAnsi="仿宋" w:eastAsia="仿宋"/>
          <w:sz w:val="32"/>
          <w:szCs w:val="22"/>
        </w:rPr>
      </w:pPr>
      <w:r>
        <w:rPr>
          <w:rFonts w:hint="eastAsia" w:ascii="仿宋" w:hAnsi="仿宋" w:eastAsia="仿宋"/>
          <w:sz w:val="32"/>
          <w:szCs w:val="22"/>
        </w:rPr>
        <w:t>根据市委、市政府批准的《南关区机构改革方案》，按照区委、区政府《关于&lt;南关区机构改革方案&gt;的实施意见》的要求，保留南关区红十字会。区红十字会是从事人道主义工作的社会救助事业性团体。</w:t>
      </w:r>
    </w:p>
    <w:p w14:paraId="565BB50F">
      <w:pPr>
        <w:ind w:firstLine="1120" w:firstLineChars="350"/>
        <w:rPr>
          <w:rFonts w:hint="eastAsia" w:ascii="仿宋" w:hAnsi="仿宋" w:eastAsia="仿宋"/>
          <w:sz w:val="32"/>
          <w:szCs w:val="22"/>
        </w:rPr>
      </w:pPr>
      <w:r>
        <w:rPr>
          <w:rFonts w:hint="eastAsia" w:ascii="仿宋" w:hAnsi="仿宋" w:eastAsia="仿宋"/>
          <w:sz w:val="32"/>
          <w:szCs w:val="22"/>
        </w:rPr>
        <w:t>主要职责：</w:t>
      </w:r>
    </w:p>
    <w:p w14:paraId="008B4EB3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（一）宣传贯彻《中华人民共和国红十字会法》，落实中国红十字会总会确定的方针政策。依法独立自主地开展红十字会工作。</w:t>
      </w:r>
    </w:p>
    <w:p w14:paraId="043CF7C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（二）开展全区备灾救灾工作，在自然灾害和突发事件中，对伤病人员和其他受害者实施救助，参加国内的人道主义救助工作。</w:t>
      </w:r>
    </w:p>
    <w:p w14:paraId="69E3ACC7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（三）开展人道领域内的社会服务和社会公益活动，组织开展群众性初级卫生救护训练和现场急救。开展无偿献血和组织工作。</w:t>
      </w:r>
    </w:p>
    <w:p w14:paraId="1824BE0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（四）加强基层组织工作建设，大力发展新组织，发展新会员。不断增强红十字队伍。宣传国际红十字和红新月运动的基本原则和日内瓦公约，及其附加议定书。</w:t>
      </w:r>
    </w:p>
    <w:p w14:paraId="0E1B0CCD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（五）开展红十字青少年活动，推广红十字示范学校的典型经验，开展“三定一包”，小组活动，搞好卫生救护知识竞赛活动，培养青少年人道主义意识，弘扬红十字会的人道、奉献、博爱精神。</w:t>
      </w:r>
    </w:p>
    <w:p w14:paraId="41998695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（六）完成政府委托和交办的有关事宜。</w:t>
      </w:r>
    </w:p>
    <w:p w14:paraId="7BD7786D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（七）发展与各国红十字会和各地红十字会之间的友好</w:t>
      </w:r>
      <w:r>
        <w:rPr>
          <w:rFonts w:hint="eastAsia" w:ascii="仿宋" w:hAnsi="仿宋" w:eastAsia="仿宋"/>
          <w:sz w:val="32"/>
          <w:szCs w:val="32"/>
          <w:lang w:eastAsia="zh-CN"/>
        </w:rPr>
        <w:t>交往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，开展人道领域方面的技术交流与合作。</w:t>
      </w:r>
    </w:p>
    <w:p w14:paraId="70A1E033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573EF60B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327BE534">
      <w:pPr>
        <w:spacing w:before="25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二、机构设置及部门决算单位构成</w:t>
      </w:r>
    </w:p>
    <w:p w14:paraId="5C41848A">
      <w:pPr>
        <w:spacing w:before="247" w:line="222" w:lineRule="auto"/>
        <w:ind w:right="9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根据上述职责，</w:t>
      </w:r>
      <w:r>
        <w:rPr>
          <w:rFonts w:hint="eastAsia" w:ascii="仿宋" w:hAnsi="仿宋" w:eastAsia="仿宋" w:cs="仿宋"/>
          <w:spacing w:val="6"/>
          <w:sz w:val="31"/>
          <w:szCs w:val="31"/>
        </w:rPr>
        <w:t>长春市南关区红十字会</w:t>
      </w:r>
      <w:r>
        <w:rPr>
          <w:rFonts w:ascii="仿宋" w:hAnsi="仿宋" w:eastAsia="仿宋" w:cs="仿宋"/>
          <w:spacing w:val="6"/>
          <w:sz w:val="31"/>
          <w:szCs w:val="31"/>
        </w:rPr>
        <w:t>内设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1"/>
          <w:szCs w:val="31"/>
        </w:rPr>
        <w:t>个机构</w:t>
      </w:r>
      <w:r>
        <w:rPr>
          <w:rFonts w:ascii="仿宋" w:hAnsi="仿宋" w:eastAsia="仿宋" w:cs="仿宋"/>
          <w:spacing w:val="-12"/>
          <w:sz w:val="31"/>
          <w:szCs w:val="31"/>
        </w:rPr>
        <w:t>。</w:t>
      </w:r>
    </w:p>
    <w:p w14:paraId="47CD8F8F">
      <w:pPr>
        <w:spacing w:before="247" w:line="356" w:lineRule="auto"/>
        <w:ind w:left="54" w:right="12" w:firstLine="6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纳入</w:t>
      </w:r>
      <w:r>
        <w:rPr>
          <w:rFonts w:hint="eastAsia" w:ascii="仿宋" w:hAnsi="仿宋" w:eastAsia="仿宋" w:cs="仿宋"/>
          <w:spacing w:val="8"/>
          <w:sz w:val="31"/>
          <w:szCs w:val="31"/>
        </w:rPr>
        <w:t>长春市南关区红十字会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 xml:space="preserve"> </w:t>
      </w:r>
      <w:r>
        <w:rPr>
          <w:rFonts w:ascii="宋体" w:hAnsi="宋体" w:eastAsia="宋体" w:cs="宋体"/>
          <w:spacing w:val="8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</w:rPr>
        <w:t>年度部门决算编制范</w:t>
      </w:r>
      <w:r>
        <w:rPr>
          <w:rFonts w:ascii="仿宋" w:hAnsi="仿宋" w:eastAsia="仿宋" w:cs="仿宋"/>
          <w:spacing w:val="-6"/>
          <w:sz w:val="31"/>
          <w:szCs w:val="31"/>
        </w:rPr>
        <w:t>围的单位包括：</w:t>
      </w:r>
    </w:p>
    <w:p w14:paraId="6C319921">
      <w:pPr>
        <w:spacing w:before="53" w:line="222" w:lineRule="auto"/>
        <w:ind w:left="69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1.</w:t>
      </w:r>
      <w:r>
        <w:rPr>
          <w:rFonts w:hint="eastAsia" w:ascii="仿宋" w:hAnsi="仿宋" w:eastAsia="仿宋" w:cs="仿宋"/>
          <w:spacing w:val="8"/>
          <w:sz w:val="31"/>
          <w:szCs w:val="31"/>
        </w:rPr>
        <w:t>长春市南关区红十字会本级</w:t>
      </w:r>
    </w:p>
    <w:p w14:paraId="40CE0032">
      <w:pPr>
        <w:pStyle w:val="2"/>
        <w:spacing w:line="328" w:lineRule="auto"/>
      </w:pPr>
    </w:p>
    <w:p w14:paraId="2854CC5B">
      <w:pPr>
        <w:spacing w:before="189" w:line="186" w:lineRule="auto"/>
        <w:ind w:left="1142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z w:val="44"/>
          <w:szCs w:val="44"/>
        </w:rPr>
        <w:t>第二部分</w:t>
      </w:r>
      <w:r>
        <w:rPr>
          <w:rFonts w:ascii="微软雅黑" w:hAnsi="微软雅黑" w:eastAsia="微软雅黑" w:cs="微软雅黑"/>
          <w:spacing w:val="111"/>
          <w:sz w:val="44"/>
          <w:szCs w:val="44"/>
        </w:rPr>
        <w:t xml:space="preserve"> </w:t>
      </w:r>
      <w:r>
        <w:rPr>
          <w:rFonts w:ascii="宋体" w:hAnsi="宋体" w:eastAsia="宋体" w:cs="宋体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</w:rPr>
        <w:t>年度部门决算表</w:t>
      </w:r>
    </w:p>
    <w:p w14:paraId="38BFAC8D">
      <w:pPr>
        <w:pStyle w:val="2"/>
        <w:spacing w:line="268" w:lineRule="auto"/>
      </w:pPr>
    </w:p>
    <w:p w14:paraId="062DEC01">
      <w:pPr>
        <w:pStyle w:val="2"/>
        <w:spacing w:line="268" w:lineRule="auto"/>
      </w:pPr>
    </w:p>
    <w:p w14:paraId="44A71830">
      <w:pPr>
        <w:pStyle w:val="2"/>
        <w:spacing w:line="268" w:lineRule="auto"/>
      </w:pPr>
    </w:p>
    <w:p w14:paraId="13E52B94">
      <w:pPr>
        <w:numPr>
          <w:ilvl w:val="0"/>
          <w:numId w:val="1"/>
        </w:numPr>
        <w:spacing w:before="100" w:line="224" w:lineRule="auto"/>
        <w:ind w:left="672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收入支出决算总表</w:t>
      </w:r>
    </w:p>
    <w:p w14:paraId="00866002">
      <w:pPr>
        <w:numPr>
          <w:ilvl w:val="0"/>
          <w:numId w:val="0"/>
        </w:numPr>
        <w:spacing w:before="100" w:line="224" w:lineRule="auto"/>
        <w:rPr>
          <w:rFonts w:ascii="黑体" w:hAnsi="黑体" w:eastAsia="黑体" w:cs="黑体"/>
          <w:spacing w:val="7"/>
          <w:sz w:val="31"/>
          <w:szCs w:val="31"/>
        </w:rPr>
      </w:pPr>
      <w:r>
        <w:drawing>
          <wp:inline distT="0" distB="0" distL="114300" distR="114300">
            <wp:extent cx="6244590" cy="5319395"/>
            <wp:effectExtent l="0" t="0" r="381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44590" cy="531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60651">
      <w:pPr>
        <w:pStyle w:val="2"/>
        <w:spacing w:line="337" w:lineRule="auto"/>
      </w:pPr>
    </w:p>
    <w:p w14:paraId="3A466E02">
      <w:pPr>
        <w:spacing w:before="101" w:line="224" w:lineRule="auto"/>
        <w:ind w:left="675"/>
        <w:rPr>
          <w:rFonts w:ascii="仿宋" w:hAnsi="仿宋" w:eastAsia="仿宋" w:cs="仿宋"/>
          <w:color w:val="FF0000"/>
          <w:spacing w:val="4"/>
          <w:sz w:val="31"/>
          <w:szCs w:val="31"/>
        </w:rPr>
      </w:pPr>
    </w:p>
    <w:p w14:paraId="2347782C">
      <w:pPr>
        <w:spacing w:before="101" w:line="224" w:lineRule="auto"/>
        <w:ind w:left="675"/>
        <w:rPr>
          <w:rFonts w:ascii="仿宋" w:hAnsi="仿宋" w:eastAsia="仿宋" w:cs="仿宋"/>
          <w:color w:val="FF0000"/>
          <w:spacing w:val="4"/>
          <w:sz w:val="31"/>
          <w:szCs w:val="31"/>
        </w:rPr>
      </w:pPr>
    </w:p>
    <w:p w14:paraId="1E958874">
      <w:pPr>
        <w:pStyle w:val="2"/>
        <w:spacing w:line="340" w:lineRule="auto"/>
      </w:pPr>
    </w:p>
    <w:p w14:paraId="2A2BE88F">
      <w:pPr>
        <w:numPr>
          <w:ilvl w:val="0"/>
          <w:numId w:val="1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收入决算表</w:t>
      </w:r>
    </w:p>
    <w:p w14:paraId="789500EB">
      <w:pPr>
        <w:numPr>
          <w:ilvl w:val="0"/>
          <w:numId w:val="0"/>
        </w:numPr>
        <w:spacing w:before="101" w:line="224" w:lineRule="auto"/>
        <w:rPr>
          <w:rFonts w:ascii="黑体" w:hAnsi="黑体" w:eastAsia="黑体" w:cs="黑体"/>
          <w:spacing w:val="7"/>
          <w:sz w:val="31"/>
          <w:szCs w:val="31"/>
        </w:rPr>
      </w:pPr>
      <w:r>
        <w:drawing>
          <wp:inline distT="0" distB="0" distL="114300" distR="114300">
            <wp:extent cx="6476365" cy="2554605"/>
            <wp:effectExtent l="0" t="0" r="635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6365" cy="255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A1D00">
      <w:pPr>
        <w:pStyle w:val="2"/>
        <w:spacing w:line="261" w:lineRule="auto"/>
      </w:pPr>
    </w:p>
    <w:p w14:paraId="7F5B148D">
      <w:pPr>
        <w:pStyle w:val="2"/>
        <w:spacing w:line="261" w:lineRule="auto"/>
      </w:pPr>
    </w:p>
    <w:p w14:paraId="1C4C9A31">
      <w:pPr>
        <w:pStyle w:val="2"/>
        <w:spacing w:line="262" w:lineRule="auto"/>
      </w:pPr>
    </w:p>
    <w:p w14:paraId="6CA5991F">
      <w:pPr>
        <w:spacing w:before="101" w:line="356" w:lineRule="auto"/>
        <w:ind w:left="35" w:right="10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注：该表为应公开表，不得删除。除涉密信息外，该表</w:t>
      </w:r>
      <w:r>
        <w:rPr>
          <w:rFonts w:ascii="仿宋" w:hAnsi="仿宋" w:eastAsia="仿宋" w:cs="仿宋"/>
          <w:color w:val="FF0000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8"/>
          <w:sz w:val="31"/>
          <w:szCs w:val="31"/>
        </w:rPr>
        <w:t>原则上应当细化公开到功能分类项级科目。</w:t>
      </w:r>
    </w:p>
    <w:p w14:paraId="7F92FF20">
      <w:pPr>
        <w:pStyle w:val="2"/>
        <w:spacing w:line="339" w:lineRule="auto"/>
      </w:pPr>
    </w:p>
    <w:p w14:paraId="2C2DA60A">
      <w:pPr>
        <w:pStyle w:val="2"/>
        <w:spacing w:line="340" w:lineRule="auto"/>
      </w:pPr>
    </w:p>
    <w:p w14:paraId="1A888D32">
      <w:pPr>
        <w:numPr>
          <w:ilvl w:val="0"/>
          <w:numId w:val="1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支出决算表</w:t>
      </w:r>
    </w:p>
    <w:p w14:paraId="19205E78">
      <w:pPr>
        <w:numPr>
          <w:ilvl w:val="0"/>
          <w:numId w:val="0"/>
        </w:numPr>
        <w:spacing w:before="101" w:line="224" w:lineRule="auto"/>
        <w:rPr>
          <w:rFonts w:ascii="黑体" w:hAnsi="黑体" w:eastAsia="黑体" w:cs="黑体"/>
          <w:spacing w:val="7"/>
          <w:sz w:val="31"/>
          <w:szCs w:val="31"/>
        </w:rPr>
      </w:pPr>
      <w:r>
        <w:drawing>
          <wp:inline distT="0" distB="0" distL="114300" distR="114300">
            <wp:extent cx="6325235" cy="2797810"/>
            <wp:effectExtent l="0" t="0" r="1841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25235" cy="279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7A2FB">
      <w:pPr>
        <w:pStyle w:val="2"/>
        <w:spacing w:line="242" w:lineRule="auto"/>
      </w:pPr>
    </w:p>
    <w:p w14:paraId="35E4AAC2">
      <w:pPr>
        <w:pStyle w:val="2"/>
        <w:spacing w:line="340" w:lineRule="auto"/>
        <w:rPr>
          <w:rFonts w:ascii="仿宋" w:hAnsi="仿宋" w:eastAsia="仿宋" w:cs="仿宋"/>
          <w:color w:val="FF0000"/>
          <w:spacing w:val="8"/>
          <w:sz w:val="31"/>
          <w:szCs w:val="31"/>
        </w:rPr>
      </w:pPr>
    </w:p>
    <w:p w14:paraId="7BD4C41D">
      <w:pPr>
        <w:numPr>
          <w:ilvl w:val="0"/>
          <w:numId w:val="1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财政拨款收入支出决算总表</w:t>
      </w:r>
    </w:p>
    <w:p w14:paraId="61BFD759">
      <w:pPr>
        <w:numPr>
          <w:ilvl w:val="0"/>
          <w:numId w:val="0"/>
        </w:numPr>
        <w:spacing w:before="101" w:line="224" w:lineRule="auto"/>
        <w:ind w:left="672" w:leftChars="0"/>
        <w:rPr>
          <w:rFonts w:ascii="黑体" w:hAnsi="黑体" w:eastAsia="黑体" w:cs="黑体"/>
          <w:spacing w:val="7"/>
          <w:sz w:val="31"/>
          <w:szCs w:val="31"/>
        </w:rPr>
      </w:pPr>
    </w:p>
    <w:p w14:paraId="4F255CBC">
      <w:pPr>
        <w:numPr>
          <w:ilvl w:val="0"/>
          <w:numId w:val="0"/>
        </w:numPr>
        <w:spacing w:before="101" w:line="224" w:lineRule="auto"/>
        <w:rPr>
          <w:rFonts w:ascii="黑体" w:hAnsi="黑体" w:eastAsia="黑体" w:cs="黑体"/>
          <w:spacing w:val="7"/>
          <w:sz w:val="31"/>
          <w:szCs w:val="31"/>
        </w:rPr>
      </w:pPr>
      <w:r>
        <w:drawing>
          <wp:inline distT="0" distB="0" distL="114300" distR="114300">
            <wp:extent cx="6082030" cy="4625975"/>
            <wp:effectExtent l="0" t="0" r="1397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82030" cy="462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3AAC6">
      <w:pPr>
        <w:pStyle w:val="2"/>
        <w:spacing w:line="273" w:lineRule="auto"/>
      </w:pPr>
    </w:p>
    <w:p w14:paraId="0973C1DD">
      <w:pPr>
        <w:numPr>
          <w:ilvl w:val="0"/>
          <w:numId w:val="1"/>
        </w:numPr>
        <w:spacing w:before="100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一般公共预算财政拨款支出决算表</w:t>
      </w:r>
    </w:p>
    <w:p w14:paraId="1496DD5F">
      <w:pPr>
        <w:numPr>
          <w:ilvl w:val="0"/>
          <w:numId w:val="0"/>
        </w:numPr>
        <w:spacing w:before="100" w:line="224" w:lineRule="auto"/>
        <w:rPr>
          <w:rFonts w:ascii="黑体" w:hAnsi="黑体" w:eastAsia="黑体" w:cs="黑体"/>
          <w:spacing w:val="8"/>
          <w:sz w:val="31"/>
          <w:szCs w:val="31"/>
        </w:rPr>
      </w:pPr>
      <w:r>
        <w:drawing>
          <wp:inline distT="0" distB="0" distL="114300" distR="114300">
            <wp:extent cx="5674995" cy="3049270"/>
            <wp:effectExtent l="0" t="0" r="1905" b="1778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74995" cy="304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74C4A">
      <w:pPr>
        <w:numPr>
          <w:ilvl w:val="0"/>
          <w:numId w:val="1"/>
        </w:numPr>
        <w:spacing w:before="100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一般公共预算财政拨款基本支出决算明细表</w:t>
      </w:r>
    </w:p>
    <w:p w14:paraId="23036F3F">
      <w:pPr>
        <w:numPr>
          <w:ilvl w:val="0"/>
          <w:numId w:val="0"/>
        </w:numPr>
        <w:spacing w:before="100" w:line="224" w:lineRule="auto"/>
        <w:rPr>
          <w:rFonts w:ascii="黑体" w:hAnsi="黑体" w:eastAsia="黑体" w:cs="黑体"/>
          <w:spacing w:val="8"/>
          <w:sz w:val="31"/>
          <w:szCs w:val="31"/>
        </w:rPr>
      </w:pPr>
      <w:r>
        <w:drawing>
          <wp:inline distT="0" distB="0" distL="114300" distR="114300">
            <wp:extent cx="6019165" cy="363791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19165" cy="363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9A2B5">
      <w:pPr>
        <w:pStyle w:val="2"/>
        <w:spacing w:line="339" w:lineRule="auto"/>
      </w:pPr>
    </w:p>
    <w:p w14:paraId="5B8F727D">
      <w:pPr>
        <w:pStyle w:val="2"/>
        <w:spacing w:line="340" w:lineRule="auto"/>
      </w:pPr>
    </w:p>
    <w:p w14:paraId="45ABBFA4">
      <w:pPr>
        <w:numPr>
          <w:ilvl w:val="0"/>
          <w:numId w:val="1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政府性基金预算财政拨款收入支出决算表</w:t>
      </w:r>
    </w:p>
    <w:p w14:paraId="778C7587">
      <w:pPr>
        <w:numPr>
          <w:ilvl w:val="0"/>
          <w:numId w:val="0"/>
        </w:numPr>
        <w:spacing w:before="101" w:line="224" w:lineRule="auto"/>
        <w:rPr>
          <w:rFonts w:ascii="黑体" w:hAnsi="黑体" w:eastAsia="黑体" w:cs="黑体"/>
          <w:spacing w:val="8"/>
          <w:sz w:val="31"/>
          <w:szCs w:val="31"/>
        </w:rPr>
      </w:pPr>
    </w:p>
    <w:p w14:paraId="2FCD8C7C">
      <w:pPr>
        <w:pStyle w:val="2"/>
        <w:spacing w:line="270" w:lineRule="auto"/>
      </w:pPr>
    </w:p>
    <w:p w14:paraId="1F790770">
      <w:pPr>
        <w:pStyle w:val="2"/>
        <w:spacing w:line="270" w:lineRule="auto"/>
      </w:pPr>
    </w:p>
    <w:p w14:paraId="615590EE">
      <w:pPr>
        <w:pStyle w:val="2"/>
        <w:spacing w:line="271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6209030" cy="1391285"/>
            <wp:effectExtent l="0" t="0" r="1270" b="18415"/>
            <wp:docPr id="10" name="图片 10" descr="1725342477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2534247748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09030" cy="139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E2F2D">
      <w:pPr>
        <w:pStyle w:val="2"/>
        <w:spacing w:line="339" w:lineRule="auto"/>
      </w:pPr>
    </w:p>
    <w:p w14:paraId="6754E4BC">
      <w:pPr>
        <w:pStyle w:val="2"/>
        <w:spacing w:line="339" w:lineRule="auto"/>
      </w:pPr>
    </w:p>
    <w:p w14:paraId="6C53F61A">
      <w:pPr>
        <w:spacing w:before="101" w:line="364" w:lineRule="auto"/>
        <w:ind w:right="13" w:firstLine="648" w:firstLineChars="200"/>
        <w:jc w:val="both"/>
        <w:rPr>
          <w:rFonts w:ascii="仿宋" w:hAnsi="仿宋" w:eastAsia="仿宋" w:cs="仿宋"/>
          <w:color w:val="auto"/>
          <w:sz w:val="31"/>
          <w:szCs w:val="31"/>
        </w:rPr>
      </w:pPr>
      <w:r>
        <w:rPr>
          <w:rFonts w:ascii="仿宋" w:hAnsi="仿宋" w:eastAsia="仿宋" w:cs="仿宋"/>
          <w:color w:val="auto"/>
          <w:spacing w:val="7"/>
          <w:sz w:val="31"/>
          <w:szCs w:val="31"/>
        </w:rPr>
        <w:t>本单位没有政府性基金预算财政拨款</w:t>
      </w:r>
      <w:r>
        <w:rPr>
          <w:rFonts w:ascii="仿宋" w:hAnsi="仿宋" w:eastAsia="仿宋" w:cs="仿宋"/>
          <w:color w:val="auto"/>
          <w:sz w:val="31"/>
          <w:szCs w:val="31"/>
        </w:rPr>
        <w:t>。</w:t>
      </w:r>
    </w:p>
    <w:p w14:paraId="7FF1E842">
      <w:pPr>
        <w:pStyle w:val="2"/>
        <w:spacing w:line="339" w:lineRule="auto"/>
      </w:pPr>
    </w:p>
    <w:p w14:paraId="177A3FC6">
      <w:pPr>
        <w:pStyle w:val="2"/>
        <w:spacing w:line="339" w:lineRule="auto"/>
      </w:pPr>
    </w:p>
    <w:p w14:paraId="217F4BE0">
      <w:pPr>
        <w:pStyle w:val="2"/>
        <w:spacing w:line="339" w:lineRule="auto"/>
      </w:pPr>
    </w:p>
    <w:p w14:paraId="15A2D729">
      <w:pPr>
        <w:pStyle w:val="2"/>
        <w:spacing w:line="339" w:lineRule="auto"/>
      </w:pPr>
    </w:p>
    <w:p w14:paraId="29AB3BC9">
      <w:pPr>
        <w:pStyle w:val="2"/>
        <w:spacing w:line="339" w:lineRule="auto"/>
      </w:pPr>
    </w:p>
    <w:p w14:paraId="1391F408">
      <w:pPr>
        <w:pStyle w:val="2"/>
        <w:spacing w:line="340" w:lineRule="auto"/>
      </w:pPr>
    </w:p>
    <w:p w14:paraId="57006C28">
      <w:pPr>
        <w:numPr>
          <w:ilvl w:val="0"/>
          <w:numId w:val="1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国有资本经营预算财政拨款支出决算表</w:t>
      </w:r>
    </w:p>
    <w:p w14:paraId="3859FE81">
      <w:pPr>
        <w:numPr>
          <w:ilvl w:val="0"/>
          <w:numId w:val="0"/>
        </w:numPr>
        <w:spacing w:before="101" w:line="224" w:lineRule="auto"/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  <w:drawing>
          <wp:inline distT="0" distB="0" distL="114300" distR="114300">
            <wp:extent cx="6096000" cy="3124200"/>
            <wp:effectExtent l="0" t="0" r="0" b="0"/>
            <wp:docPr id="1" name="图片 1" descr="487eefe2f3cd714a2adaf4b5b4581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87eefe2f3cd714a2adaf4b5b45814d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DEAB1">
      <w:pPr>
        <w:pStyle w:val="2"/>
        <w:spacing w:line="253" w:lineRule="auto"/>
      </w:pPr>
    </w:p>
    <w:p w14:paraId="1690D02B">
      <w:pPr>
        <w:spacing w:before="101" w:line="364" w:lineRule="auto"/>
        <w:ind w:right="13" w:firstLine="648" w:firstLineChars="200"/>
        <w:jc w:val="both"/>
        <w:rPr>
          <w:rFonts w:ascii="仿宋" w:hAnsi="仿宋" w:eastAsia="仿宋" w:cs="仿宋"/>
          <w:color w:val="auto"/>
          <w:sz w:val="31"/>
          <w:szCs w:val="31"/>
        </w:rPr>
      </w:pPr>
      <w:r>
        <w:rPr>
          <w:rFonts w:ascii="仿宋" w:hAnsi="仿宋" w:eastAsia="仿宋" w:cs="仿宋"/>
          <w:color w:val="auto"/>
          <w:spacing w:val="7"/>
          <w:sz w:val="31"/>
          <w:szCs w:val="31"/>
        </w:rPr>
        <w:t>本单位没有国有资本经营预</w:t>
      </w:r>
      <w:r>
        <w:rPr>
          <w:rFonts w:ascii="仿宋" w:hAnsi="仿宋" w:eastAsia="仿宋" w:cs="仿宋"/>
          <w:color w:val="auto"/>
          <w:sz w:val="31"/>
          <w:szCs w:val="31"/>
        </w:rPr>
        <w:t>算财政拨款。</w:t>
      </w:r>
    </w:p>
    <w:p w14:paraId="7A48CAB5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九、财政拨款“三公”经费支出决算表</w:t>
      </w:r>
    </w:p>
    <w:p w14:paraId="54077E14">
      <w:pPr>
        <w:spacing w:before="96" w:line="5302" w:lineRule="exact"/>
        <w:ind w:firstLine="237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857875" cy="2131695"/>
            <wp:effectExtent l="0" t="0" r="9525" b="1905"/>
            <wp:docPr id="6" name="图片 6" descr="8d77ab86e808f751c5e353501acdc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d77ab86e808f751c5e353501acdc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3D423">
      <w:pPr>
        <w:pStyle w:val="2"/>
        <w:spacing w:line="339" w:lineRule="auto"/>
        <w:ind w:firstLine="640" w:firstLineChars="200"/>
        <w:rPr>
          <w:rFonts w:ascii="仿宋" w:hAnsi="仿宋" w:eastAsia="仿宋" w:cs="仿宋"/>
          <w:color w:val="auto"/>
          <w:spacing w:val="44"/>
          <w:sz w:val="31"/>
          <w:szCs w:val="31"/>
        </w:rPr>
      </w:pPr>
      <w:r>
        <w:rPr>
          <w:rFonts w:ascii="仿宋" w:hAnsi="仿宋" w:eastAsia="仿宋" w:cs="仿宋"/>
          <w:color w:val="auto"/>
          <w:spacing w:val="5"/>
          <w:sz w:val="31"/>
          <w:szCs w:val="31"/>
        </w:rPr>
        <w:t>本单位没有财政拨款</w:t>
      </w:r>
      <w:r>
        <w:rPr>
          <w:rFonts w:ascii="仿宋" w:hAnsi="仿宋" w:eastAsia="仿宋" w:cs="仿宋"/>
          <w:color w:val="auto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auto"/>
          <w:spacing w:val="5"/>
          <w:sz w:val="31"/>
          <w:szCs w:val="31"/>
        </w:rPr>
        <w:t>“三公”经费</w:t>
      </w:r>
      <w:r>
        <w:rPr>
          <w:rFonts w:ascii="仿宋" w:hAnsi="仿宋" w:eastAsia="仿宋" w:cs="仿宋"/>
          <w:color w:val="auto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auto"/>
          <w:spacing w:val="44"/>
          <w:sz w:val="31"/>
          <w:szCs w:val="31"/>
        </w:rPr>
        <w:t>支出。</w:t>
      </w:r>
    </w:p>
    <w:p w14:paraId="2386A8AB">
      <w:pPr>
        <w:spacing w:before="100" w:line="224" w:lineRule="auto"/>
        <w:ind w:left="30"/>
        <w:rPr>
          <w:rFonts w:ascii="黑体" w:hAnsi="黑体" w:eastAsia="黑体" w:cs="黑体"/>
          <w:spacing w:val="8"/>
          <w:sz w:val="31"/>
          <w:szCs w:val="31"/>
        </w:rPr>
      </w:pPr>
    </w:p>
    <w:p w14:paraId="2D4C0368">
      <w:pPr>
        <w:spacing w:before="100" w:line="224" w:lineRule="auto"/>
        <w:ind w:left="30"/>
        <w:rPr>
          <w:rFonts w:ascii="黑体" w:hAnsi="黑体" w:eastAsia="黑体" w:cs="黑体"/>
          <w:spacing w:val="8"/>
          <w:sz w:val="31"/>
          <w:szCs w:val="31"/>
        </w:rPr>
      </w:pPr>
    </w:p>
    <w:p w14:paraId="159EB220">
      <w:pPr>
        <w:spacing w:before="100" w:line="224" w:lineRule="auto"/>
        <w:ind w:left="30"/>
        <w:rPr>
          <w:rFonts w:ascii="黑体" w:hAnsi="黑体" w:eastAsia="黑体" w:cs="黑体"/>
          <w:spacing w:val="8"/>
          <w:sz w:val="31"/>
          <w:szCs w:val="31"/>
        </w:rPr>
      </w:pPr>
    </w:p>
    <w:p w14:paraId="0E589A49">
      <w:pPr>
        <w:spacing w:before="100" w:line="224" w:lineRule="auto"/>
        <w:ind w:left="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十、部门预算项目支出绩效自评表</w:t>
      </w:r>
    </w:p>
    <w:p w14:paraId="6C7B7A3B">
      <w:pPr>
        <w:pStyle w:val="2"/>
        <w:spacing w:line="314" w:lineRule="auto"/>
      </w:pPr>
    </w:p>
    <w:p w14:paraId="55B6D139">
      <w:pPr>
        <w:pStyle w:val="2"/>
        <w:spacing w:line="314" w:lineRule="auto"/>
      </w:pPr>
    </w:p>
    <w:p w14:paraId="2FE5E611">
      <w:pPr>
        <w:pStyle w:val="2"/>
        <w:spacing w:line="315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941695" cy="7897495"/>
            <wp:effectExtent l="0" t="0" r="1905" b="8255"/>
            <wp:docPr id="13" name="图片 13" descr="90ef6748b4f5e5a9095371189d05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90ef6748b4f5e5a9095371189d0574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1695" cy="789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62C8F">
      <w:pPr>
        <w:pStyle w:val="2"/>
        <w:spacing w:line="315" w:lineRule="auto"/>
        <w:rPr>
          <w:rFonts w:hint="eastAsia" w:eastAsia="宋体"/>
          <w:lang w:eastAsia="zh-CN"/>
        </w:rPr>
      </w:pPr>
    </w:p>
    <w:p w14:paraId="4FE70989">
      <w:pPr>
        <w:pStyle w:val="2"/>
        <w:spacing w:line="315" w:lineRule="auto"/>
        <w:rPr>
          <w:rFonts w:hint="eastAsia" w:eastAsia="宋体"/>
          <w:lang w:eastAsia="zh-CN"/>
        </w:rPr>
      </w:pPr>
    </w:p>
    <w:p w14:paraId="6B3AE864">
      <w:pPr>
        <w:spacing w:before="225" w:line="443" w:lineRule="exact"/>
        <w:ind w:left="482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第三部分</w:t>
      </w:r>
      <w:r>
        <w:rPr>
          <w:rFonts w:ascii="微软雅黑" w:hAnsi="微软雅黑" w:eastAsia="微软雅黑" w:cs="微软雅黑"/>
          <w:spacing w:val="103"/>
          <w:position w:val="-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2023年度部门决算情况说明</w:t>
      </w:r>
    </w:p>
    <w:p w14:paraId="6F9E1EDD">
      <w:pPr>
        <w:pStyle w:val="2"/>
        <w:spacing w:line="315" w:lineRule="auto"/>
        <w:rPr>
          <w:rFonts w:hint="eastAsia" w:eastAsia="宋体"/>
          <w:lang w:eastAsia="zh-CN"/>
        </w:rPr>
      </w:pPr>
    </w:p>
    <w:p w14:paraId="37C84E76">
      <w:pPr>
        <w:pStyle w:val="2"/>
        <w:spacing w:line="315" w:lineRule="auto"/>
        <w:rPr>
          <w:rFonts w:hint="eastAsia" w:eastAsia="宋体"/>
          <w:lang w:eastAsia="zh-CN"/>
        </w:rPr>
      </w:pPr>
    </w:p>
    <w:p w14:paraId="69AE4294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6156D095">
      <w:pPr>
        <w:spacing w:before="248" w:line="362" w:lineRule="auto"/>
        <w:ind w:left="36" w:right="113" w:firstLine="63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年度收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入75.92万元、支出70.91</w:t>
      </w:r>
      <w:r>
        <w:rPr>
          <w:rFonts w:ascii="仿宋" w:hAnsi="仿宋" w:eastAsia="仿宋" w:cs="仿宋"/>
          <w:spacing w:val="4"/>
          <w:sz w:val="31"/>
          <w:szCs w:val="31"/>
        </w:rPr>
        <w:t>万元。与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4"/>
          <w:sz w:val="31"/>
          <w:szCs w:val="31"/>
        </w:rPr>
        <w:t>年度相比，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收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入</w:t>
      </w:r>
      <w:r>
        <w:rPr>
          <w:rFonts w:ascii="仿宋" w:hAnsi="仿宋" w:eastAsia="仿宋" w:cs="仿宋"/>
          <w:spacing w:val="4"/>
          <w:sz w:val="31"/>
          <w:szCs w:val="31"/>
        </w:rPr>
        <w:t>减少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133.97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下降63.83%，主要原因：本年新冠肺炎疫情捐款减少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；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支出减少138.87万元</w:t>
      </w:r>
      <w:r>
        <w:rPr>
          <w:rFonts w:ascii="仿宋" w:hAnsi="仿宋" w:eastAsia="仿宋" w:cs="仿宋"/>
          <w:spacing w:val="4"/>
          <w:sz w:val="31"/>
          <w:szCs w:val="31"/>
        </w:rPr>
        <w:t>，下降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66.2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。主</w:t>
      </w:r>
      <w:r>
        <w:rPr>
          <w:rFonts w:ascii="仿宋" w:hAnsi="仿宋" w:eastAsia="仿宋" w:cs="仿宋"/>
          <w:spacing w:val="-10"/>
          <w:sz w:val="31"/>
          <w:szCs w:val="31"/>
        </w:rPr>
        <w:t>要原因：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本年新冠肺炎疫情捐款减少。</w:t>
      </w:r>
    </w:p>
    <w:p w14:paraId="2B04BA9D">
      <w:pPr>
        <w:pStyle w:val="2"/>
        <w:spacing w:line="260" w:lineRule="auto"/>
      </w:pPr>
    </w:p>
    <w:p w14:paraId="6335673D">
      <w:pPr>
        <w:spacing w:before="50" w:line="224" w:lineRule="auto"/>
        <w:ind w:left="672"/>
        <w:rPr>
          <w:rFonts w:ascii="黑体" w:hAnsi="黑体" w:eastAsia="黑体" w:cs="黑体"/>
          <w:spacing w:val="8"/>
          <w:sz w:val="31"/>
          <w:szCs w:val="31"/>
        </w:rPr>
      </w:pPr>
    </w:p>
    <w:p w14:paraId="09909D1E">
      <w:pPr>
        <w:spacing w:before="50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33839FA7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53" w:line="368" w:lineRule="auto"/>
        <w:ind w:left="23" w:firstLine="646"/>
        <w:textAlignment w:val="baseline"/>
        <w:rPr>
          <w:rFonts w:ascii="仿宋" w:hAnsi="仿宋" w:eastAsia="仿宋" w:cs="仿宋"/>
          <w:spacing w:val="-9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本年收入合计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75.92</w:t>
      </w:r>
      <w:r>
        <w:rPr>
          <w:rFonts w:ascii="仿宋" w:hAnsi="仿宋" w:eastAsia="仿宋" w:cs="仿宋"/>
          <w:spacing w:val="4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其中：财政拨款收入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65.61</w:t>
      </w:r>
      <w:r>
        <w:rPr>
          <w:rFonts w:ascii="仿宋" w:hAnsi="仿宋" w:eastAsia="仿宋" w:cs="仿宋"/>
          <w:spacing w:val="4"/>
          <w:sz w:val="31"/>
          <w:szCs w:val="31"/>
        </w:rPr>
        <w:t>万元，比</w:t>
      </w:r>
      <w:r>
        <w:rPr>
          <w:rFonts w:ascii="仿宋" w:hAnsi="仿宋" w:eastAsia="仿宋" w:cs="仿宋"/>
          <w:spacing w:val="6"/>
          <w:sz w:val="31"/>
          <w:szCs w:val="31"/>
        </w:rPr>
        <w:t>上年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增加42.97</w:t>
      </w:r>
      <w:r>
        <w:rPr>
          <w:rFonts w:ascii="仿宋" w:hAnsi="仿宋" w:eastAsia="仿宋" w:cs="仿宋"/>
          <w:spacing w:val="6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增长189.77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，主要</w:t>
      </w:r>
      <w:r>
        <w:rPr>
          <w:rFonts w:ascii="仿宋" w:hAnsi="仿宋" w:eastAsia="仿宋" w:cs="仿宋"/>
          <w:spacing w:val="4"/>
          <w:sz w:val="31"/>
          <w:szCs w:val="31"/>
        </w:rPr>
        <w:t>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部分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其他收入并入财政拨款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收入</w:t>
      </w:r>
      <w:r>
        <w:rPr>
          <w:rFonts w:ascii="仿宋" w:hAnsi="仿宋" w:eastAsia="仿宋" w:cs="仿宋"/>
          <w:spacing w:val="4"/>
          <w:sz w:val="31"/>
          <w:szCs w:val="31"/>
        </w:rPr>
        <w:t>；</w:t>
      </w:r>
      <w:r>
        <w:rPr>
          <w:rFonts w:ascii="仿宋" w:hAnsi="仿宋" w:eastAsia="仿宋" w:cs="仿宋"/>
          <w:spacing w:val="7"/>
          <w:sz w:val="31"/>
          <w:szCs w:val="31"/>
        </w:rPr>
        <w:t>其他收</w:t>
      </w:r>
      <w:r>
        <w:rPr>
          <w:rFonts w:ascii="仿宋" w:hAnsi="仿宋" w:eastAsia="仿宋" w:cs="仿宋"/>
          <w:spacing w:val="4"/>
          <w:sz w:val="31"/>
          <w:szCs w:val="31"/>
        </w:rPr>
        <w:t>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10.31</w:t>
      </w:r>
      <w:r>
        <w:rPr>
          <w:rFonts w:ascii="仿宋" w:hAnsi="仿宋" w:eastAsia="仿宋" w:cs="仿宋"/>
          <w:spacing w:val="4"/>
          <w:sz w:val="31"/>
          <w:szCs w:val="31"/>
        </w:rPr>
        <w:t>万</w:t>
      </w:r>
      <w:r>
        <w:rPr>
          <w:rFonts w:ascii="仿宋" w:hAnsi="仿宋" w:eastAsia="仿宋" w:cs="仿宋"/>
          <w:spacing w:val="-9"/>
          <w:sz w:val="31"/>
          <w:szCs w:val="31"/>
        </w:rPr>
        <w:t>元，比上年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减</w:t>
      </w:r>
      <w:r>
        <w:rPr>
          <w:rFonts w:ascii="仿宋" w:hAnsi="仿宋" w:eastAsia="仿宋" w:cs="仿宋"/>
          <w:spacing w:val="-9"/>
          <w:sz w:val="31"/>
          <w:szCs w:val="31"/>
        </w:rPr>
        <w:t>少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176.94</w:t>
      </w:r>
      <w:r>
        <w:rPr>
          <w:rFonts w:ascii="仿宋" w:hAnsi="仿宋" w:eastAsia="仿宋" w:cs="仿宋"/>
          <w:spacing w:val="-9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94.49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 %，主要是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部分</w:t>
      </w:r>
      <w:r>
        <w:rPr>
          <w:rFonts w:hint="eastAsia" w:ascii="仿宋" w:hAnsi="仿宋" w:eastAsia="仿宋" w:cs="仿宋"/>
          <w:spacing w:val="-9"/>
          <w:sz w:val="31"/>
          <w:szCs w:val="31"/>
        </w:rPr>
        <w:t>其他收入并入财政拨款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收入并且本年度新冠肺炎疫情捐款减少</w:t>
      </w:r>
      <w:r>
        <w:rPr>
          <w:rFonts w:ascii="仿宋" w:hAnsi="仿宋" w:eastAsia="仿宋" w:cs="仿宋"/>
          <w:spacing w:val="-9"/>
          <w:sz w:val="31"/>
          <w:szCs w:val="31"/>
        </w:rPr>
        <w:t>。</w:t>
      </w:r>
    </w:p>
    <w:p w14:paraId="19B73D8D">
      <w:pPr>
        <w:spacing w:before="158" w:line="224" w:lineRule="auto"/>
        <w:ind w:left="674"/>
        <w:rPr>
          <w:rFonts w:ascii="黑体" w:hAnsi="黑体" w:eastAsia="黑体" w:cs="黑体"/>
          <w:spacing w:val="8"/>
          <w:sz w:val="31"/>
          <w:szCs w:val="31"/>
        </w:rPr>
      </w:pPr>
    </w:p>
    <w:p w14:paraId="4231F353">
      <w:pPr>
        <w:spacing w:before="158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 w14:paraId="3008E2B5">
      <w:pPr>
        <w:spacing w:before="251" w:line="368" w:lineRule="auto"/>
        <w:ind w:left="21" w:firstLine="645"/>
      </w:pPr>
      <w:r>
        <w:rPr>
          <w:rFonts w:ascii="仿宋" w:hAnsi="仿宋" w:eastAsia="仿宋" w:cs="仿宋"/>
          <w:spacing w:val="4"/>
          <w:sz w:val="31"/>
          <w:szCs w:val="31"/>
        </w:rPr>
        <w:t>本年支出合计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70.91</w:t>
      </w:r>
      <w:r>
        <w:rPr>
          <w:rFonts w:ascii="仿宋" w:hAnsi="仿宋" w:eastAsia="仿宋" w:cs="仿宋"/>
          <w:spacing w:val="4"/>
          <w:sz w:val="31"/>
          <w:szCs w:val="31"/>
        </w:rPr>
        <w:t>万元，其中：基本支出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62.96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比上年</w:t>
      </w:r>
      <w:r>
        <w:rPr>
          <w:rFonts w:ascii="仿宋" w:hAnsi="仿宋" w:eastAsia="仿宋" w:cs="仿宋"/>
          <w:spacing w:val="7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49.51</w:t>
      </w:r>
      <w:r>
        <w:rPr>
          <w:rFonts w:ascii="仿宋" w:hAnsi="仿宋" w:eastAsia="仿宋" w:cs="仿宋"/>
          <w:spacing w:val="7"/>
          <w:sz w:val="31"/>
          <w:szCs w:val="31"/>
        </w:rPr>
        <w:t>万元，增</w:t>
      </w:r>
      <w:r>
        <w:rPr>
          <w:rFonts w:ascii="仿宋" w:hAnsi="仿宋" w:eastAsia="仿宋" w:cs="仿宋"/>
          <w:spacing w:val="4"/>
          <w:sz w:val="31"/>
          <w:szCs w:val="31"/>
        </w:rPr>
        <w:t>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368.1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%，主要是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部分</w:t>
      </w:r>
      <w:r>
        <w:rPr>
          <w:rFonts w:hint="eastAsia" w:ascii="仿宋" w:hAnsi="仿宋" w:eastAsia="仿宋" w:cs="仿宋"/>
          <w:spacing w:val="4"/>
          <w:sz w:val="31"/>
          <w:szCs w:val="31"/>
        </w:rPr>
        <w:t>项目支出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计入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到基本支出</w:t>
      </w:r>
      <w:r>
        <w:rPr>
          <w:rFonts w:ascii="仿宋" w:hAnsi="仿宋" w:eastAsia="仿宋" w:cs="仿宋"/>
          <w:spacing w:val="4"/>
          <w:sz w:val="31"/>
          <w:szCs w:val="31"/>
        </w:rPr>
        <w:t>；项目支出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7.94</w:t>
      </w:r>
      <w:r>
        <w:rPr>
          <w:rFonts w:ascii="仿宋" w:hAnsi="仿宋" w:eastAsia="仿宋" w:cs="仿宋"/>
          <w:spacing w:val="4"/>
          <w:sz w:val="31"/>
          <w:szCs w:val="31"/>
        </w:rPr>
        <w:t>万元， 比上年减少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188.38</w:t>
      </w:r>
      <w:r>
        <w:rPr>
          <w:rFonts w:ascii="仿宋" w:hAnsi="仿宋" w:eastAsia="仿宋" w:cs="仿宋"/>
          <w:spacing w:val="4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95.95</w:t>
      </w:r>
      <w:r>
        <w:rPr>
          <w:rFonts w:ascii="仿宋" w:hAnsi="仿宋" w:eastAsia="仿宋" w:cs="仿宋"/>
          <w:spacing w:val="4"/>
          <w:sz w:val="31"/>
          <w:szCs w:val="31"/>
        </w:rPr>
        <w:t>%，主要是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部分</w:t>
      </w:r>
      <w:r>
        <w:rPr>
          <w:rFonts w:hint="eastAsia" w:ascii="仿宋" w:hAnsi="仿宋" w:eastAsia="仿宋" w:cs="仿宋"/>
          <w:spacing w:val="4"/>
          <w:sz w:val="31"/>
          <w:szCs w:val="31"/>
        </w:rPr>
        <w:t>项目支出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计入</w:t>
      </w:r>
      <w:r>
        <w:rPr>
          <w:rFonts w:hint="eastAsia" w:ascii="仿宋" w:hAnsi="仿宋" w:eastAsia="仿宋" w:cs="仿宋"/>
          <w:spacing w:val="4"/>
          <w:sz w:val="31"/>
          <w:szCs w:val="31"/>
        </w:rPr>
        <w:t>到基本支出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且本年度本新冠肺炎疫情捐款减少</w:t>
      </w:r>
      <w:r>
        <w:rPr>
          <w:rFonts w:ascii="仿宋" w:hAnsi="仿宋" w:eastAsia="仿宋" w:cs="仿宋"/>
          <w:spacing w:val="4"/>
          <w:sz w:val="31"/>
          <w:szCs w:val="31"/>
        </w:rPr>
        <w:t>；上缴上级支出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%，主要是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没有</w:t>
      </w:r>
      <w:r>
        <w:rPr>
          <w:rFonts w:ascii="仿宋" w:hAnsi="仿宋" w:eastAsia="仿宋" w:cs="仿宋"/>
          <w:spacing w:val="4"/>
          <w:sz w:val="31"/>
          <w:szCs w:val="31"/>
        </w:rPr>
        <w:t>上缴上级支出；经营支出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%，主要是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没有</w:t>
      </w:r>
      <w:r>
        <w:rPr>
          <w:rFonts w:ascii="仿宋" w:hAnsi="仿宋" w:eastAsia="仿宋" w:cs="仿宋"/>
          <w:spacing w:val="4"/>
          <w:sz w:val="31"/>
          <w:szCs w:val="31"/>
        </w:rPr>
        <w:t>经营支出；对附属单位补助支出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万元，比上年增加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%</w:t>
      </w:r>
      <w:r>
        <w:rPr>
          <w:rFonts w:hint="eastAsia" w:ascii="仿宋" w:hAnsi="仿宋" w:eastAsia="仿宋" w:cs="仿宋"/>
          <w:spacing w:val="4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>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没有</w:t>
      </w:r>
      <w:r>
        <w:rPr>
          <w:rFonts w:ascii="仿宋" w:hAnsi="仿宋" w:eastAsia="仿宋" w:cs="仿宋"/>
          <w:spacing w:val="4"/>
          <w:sz w:val="31"/>
          <w:szCs w:val="31"/>
        </w:rPr>
        <w:t>对附属单位补助支出。</w:t>
      </w:r>
    </w:p>
    <w:p w14:paraId="58E14D07">
      <w:pPr>
        <w:pStyle w:val="2"/>
        <w:spacing w:line="285" w:lineRule="auto"/>
      </w:pPr>
    </w:p>
    <w:p w14:paraId="17167018">
      <w:pPr>
        <w:spacing w:before="101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20C70FBE">
      <w:pPr>
        <w:spacing w:before="248" w:line="362" w:lineRule="auto"/>
        <w:ind w:left="23" w:right="86" w:firstLine="648"/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6"/>
          <w:sz w:val="31"/>
          <w:szCs w:val="31"/>
        </w:rPr>
        <w:t>年度财政拨款收、支总计均为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65.61</w:t>
      </w:r>
      <w:r>
        <w:rPr>
          <w:rFonts w:ascii="仿宋" w:hAnsi="仿宋" w:eastAsia="仿宋" w:cs="仿宋"/>
          <w:spacing w:val="5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5"/>
          <w:sz w:val="31"/>
          <w:szCs w:val="31"/>
        </w:rPr>
        <w:t>与</w:t>
      </w:r>
      <w:r>
        <w:rPr>
          <w:rFonts w:ascii="宋体" w:hAnsi="宋体" w:eastAsia="宋体" w:cs="宋体"/>
          <w:spacing w:val="5"/>
          <w:sz w:val="31"/>
          <w:szCs w:val="31"/>
        </w:rPr>
        <w:t>2022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相比，财政拨款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收入</w:t>
      </w:r>
      <w:r>
        <w:rPr>
          <w:rFonts w:ascii="仿宋" w:hAnsi="仿宋" w:eastAsia="仿宋" w:cs="仿宋"/>
          <w:spacing w:val="-9"/>
          <w:sz w:val="31"/>
          <w:szCs w:val="31"/>
        </w:rPr>
        <w:t>总计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增加42.97</w:t>
      </w:r>
      <w:r>
        <w:rPr>
          <w:rFonts w:ascii="仿宋" w:hAnsi="仿宋" w:eastAsia="仿宋" w:cs="仿宋"/>
          <w:spacing w:val="-9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增长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189.77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</w:t>
      </w:r>
      <w:r>
        <w:rPr>
          <w:rFonts w:ascii="仿宋" w:hAnsi="仿宋" w:eastAsia="仿宋" w:cs="仿宋"/>
          <w:spacing w:val="-9"/>
          <w:sz w:val="31"/>
          <w:szCs w:val="31"/>
        </w:rPr>
        <w:t>原因 :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增加人员在我单位开工资，以及较上年增加网费、审计费、车补</w:t>
      </w:r>
      <w:r>
        <w:rPr>
          <w:rFonts w:hint="eastAsia" w:ascii="仿宋" w:hAnsi="仿宋" w:eastAsia="仿宋" w:cs="仿宋"/>
          <w:spacing w:val="-1"/>
          <w:sz w:val="31"/>
          <w:szCs w:val="31"/>
          <w:lang w:eastAsia="zh-CN"/>
        </w:rPr>
        <w:t>；</w:t>
      </w:r>
      <w:r>
        <w:rPr>
          <w:rFonts w:ascii="仿宋" w:hAnsi="仿宋" w:eastAsia="仿宋" w:cs="仿宋"/>
          <w:spacing w:val="-9"/>
          <w:sz w:val="31"/>
          <w:szCs w:val="31"/>
        </w:rPr>
        <w:t>财政拨款支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出</w:t>
      </w:r>
      <w:r>
        <w:rPr>
          <w:rFonts w:ascii="仿宋" w:hAnsi="仿宋" w:eastAsia="仿宋" w:cs="仿宋"/>
          <w:spacing w:val="-9"/>
          <w:sz w:val="31"/>
          <w:szCs w:val="31"/>
        </w:rPr>
        <w:t>总计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增加42.97</w:t>
      </w:r>
      <w:r>
        <w:rPr>
          <w:rFonts w:ascii="仿宋" w:hAnsi="仿宋" w:eastAsia="仿宋" w:cs="仿宋"/>
          <w:spacing w:val="-9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增长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189.77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:</w:t>
      </w:r>
      <w:r>
        <w:rPr>
          <w:rFonts w:ascii="宋体" w:hAnsi="宋体" w:eastAsia="宋体" w:cs="宋体"/>
          <w:spacing w:val="-104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增加人员在我单位开工资，以及较上年增加网费、审计费、车补。</w:t>
      </w:r>
    </w:p>
    <w:p w14:paraId="77437A55">
      <w:pPr>
        <w:spacing w:before="101" w:line="224" w:lineRule="auto"/>
        <w:ind w:left="676"/>
        <w:rPr>
          <w:rFonts w:ascii="黑体" w:hAnsi="黑体" w:eastAsia="黑体" w:cs="黑体"/>
          <w:spacing w:val="8"/>
          <w:sz w:val="31"/>
          <w:szCs w:val="31"/>
        </w:rPr>
      </w:pPr>
    </w:p>
    <w:p w14:paraId="33D0C480">
      <w:pPr>
        <w:spacing w:before="101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五</w:t>
      </w:r>
      <w:r>
        <w:rPr>
          <w:rFonts w:ascii="黑体" w:hAnsi="黑体" w:eastAsia="黑体" w:cs="黑体"/>
          <w:spacing w:val="8"/>
          <w:sz w:val="31"/>
          <w:szCs w:val="31"/>
        </w:rPr>
        <w:t>、一般公共预算财政拨款支出决算情况说明</w:t>
      </w:r>
    </w:p>
    <w:p w14:paraId="09977B0C">
      <w:pPr>
        <w:spacing w:before="248" w:line="223" w:lineRule="auto"/>
        <w:ind w:left="66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（一）一般公共预算财政拨款支出决算总体情况</w:t>
      </w:r>
    </w:p>
    <w:p w14:paraId="796D5C05">
      <w:pPr>
        <w:spacing w:before="160" w:line="357" w:lineRule="auto"/>
        <w:ind w:right="90" w:firstLine="636" w:firstLineChars="200"/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65.61</w:t>
      </w:r>
      <w:r>
        <w:rPr>
          <w:rFonts w:ascii="仿宋" w:hAnsi="仿宋" w:eastAsia="仿宋" w:cs="仿宋"/>
          <w:spacing w:val="4"/>
          <w:sz w:val="31"/>
          <w:szCs w:val="31"/>
        </w:rPr>
        <w:t>万元，占本年支</w:t>
      </w:r>
      <w:r>
        <w:rPr>
          <w:rFonts w:ascii="仿宋" w:hAnsi="仿宋" w:eastAsia="仿宋" w:cs="仿宋"/>
          <w:spacing w:val="3"/>
          <w:sz w:val="31"/>
          <w:szCs w:val="31"/>
        </w:rPr>
        <w:t>出合计的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92.53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ascii="仿宋" w:hAnsi="仿宋" w:eastAsia="仿宋" w:cs="仿宋"/>
          <w:spacing w:val="3"/>
          <w:sz w:val="31"/>
          <w:szCs w:val="31"/>
        </w:rPr>
        <w:t>。与</w:t>
      </w:r>
      <w:r>
        <w:rPr>
          <w:rFonts w:ascii="宋体" w:hAnsi="宋体" w:eastAsia="宋体" w:cs="宋体"/>
          <w:spacing w:val="3"/>
          <w:sz w:val="31"/>
          <w:szCs w:val="31"/>
        </w:rPr>
        <w:t>2022</w:t>
      </w:r>
      <w:r>
        <w:rPr>
          <w:rFonts w:ascii="仿宋" w:hAnsi="仿宋" w:eastAsia="仿宋" w:cs="仿宋"/>
          <w:spacing w:val="3"/>
          <w:sz w:val="31"/>
          <w:szCs w:val="31"/>
        </w:rPr>
        <w:t>年度相比，一般公共预算财政拨款支</w:t>
      </w:r>
      <w:r>
        <w:rPr>
          <w:rFonts w:ascii="仿宋" w:hAnsi="仿宋" w:eastAsia="仿宋" w:cs="仿宋"/>
          <w:spacing w:val="-1"/>
          <w:sz w:val="31"/>
          <w:szCs w:val="31"/>
        </w:rPr>
        <w:t>出增加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42.97</w:t>
      </w:r>
      <w:r>
        <w:rPr>
          <w:rFonts w:ascii="仿宋" w:hAnsi="仿宋" w:eastAsia="仿宋" w:cs="仿宋"/>
          <w:spacing w:val="-1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189.77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ascii="仿宋" w:hAnsi="仿宋" w:eastAsia="仿宋" w:cs="仿宋"/>
          <w:spacing w:val="-1"/>
          <w:sz w:val="31"/>
          <w:szCs w:val="31"/>
        </w:rPr>
        <w:t>。主要原因：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增加人员在我单位开工资，以及较上年增加网费、审计费、车补。</w:t>
      </w:r>
    </w:p>
    <w:p w14:paraId="59793105">
      <w:pPr>
        <w:spacing w:before="51" w:line="223" w:lineRule="auto"/>
        <w:outlineLvl w:val="2"/>
        <w:rPr>
          <w:rFonts w:hint="eastAsia" w:ascii="仿宋" w:hAnsi="仿宋" w:eastAsia="仿宋" w:cs="仿宋"/>
          <w:color w:val="FF0000"/>
          <w:spacing w:val="2"/>
          <w:sz w:val="31"/>
          <w:szCs w:val="31"/>
          <w:lang w:eastAsia="zh-CN"/>
        </w:rPr>
      </w:pPr>
    </w:p>
    <w:p w14:paraId="24287BBF">
      <w:pPr>
        <w:spacing w:before="51" w:line="223" w:lineRule="auto"/>
        <w:ind w:firstLine="638" w:firstLineChars="200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（二）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一般公共预算财政拨款支出决算结构情况</w:t>
      </w:r>
    </w:p>
    <w:p w14:paraId="7C534B1C">
      <w:pPr>
        <w:spacing w:before="251" w:line="364" w:lineRule="auto"/>
        <w:ind w:left="68" w:right="7" w:firstLine="603"/>
        <w:jc w:val="both"/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宋体" w:hAnsi="宋体" w:eastAsia="宋体" w:cs="宋体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年度一般公共预算财政拨款支出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65.61</w:t>
      </w:r>
      <w:r>
        <w:rPr>
          <w:rFonts w:ascii="仿宋" w:hAnsi="仿宋" w:eastAsia="仿宋" w:cs="仿宋"/>
          <w:spacing w:val="4"/>
          <w:sz w:val="31"/>
          <w:szCs w:val="31"/>
        </w:rPr>
        <w:t>万元，主要用于</w:t>
      </w:r>
      <w:r>
        <w:rPr>
          <w:rFonts w:ascii="仿宋" w:hAnsi="仿宋" w:eastAsia="仿宋" w:cs="仿宋"/>
          <w:spacing w:val="-6"/>
          <w:sz w:val="31"/>
          <w:szCs w:val="31"/>
        </w:rPr>
        <w:t>以下方面：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社会保障和就业支出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61.95</w:t>
      </w:r>
      <w:r>
        <w:rPr>
          <w:rFonts w:ascii="仿宋" w:hAnsi="仿宋" w:eastAsia="仿宋" w:cs="仿宋"/>
          <w:spacing w:val="-6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94.42</w:t>
      </w:r>
      <w:r>
        <w:rPr>
          <w:rFonts w:ascii="宋体" w:hAnsi="宋体" w:eastAsia="宋体" w:cs="宋体"/>
          <w:spacing w:val="-6"/>
          <w:sz w:val="31"/>
          <w:szCs w:val="31"/>
        </w:rPr>
        <w:t>%</w:t>
      </w:r>
      <w:r>
        <w:rPr>
          <w:rFonts w:ascii="仿宋" w:hAnsi="仿宋" w:eastAsia="仿宋" w:cs="仿宋"/>
          <w:spacing w:val="-6"/>
          <w:sz w:val="31"/>
          <w:szCs w:val="31"/>
        </w:rPr>
        <w:t>；</w:t>
      </w:r>
      <w:r>
        <w:rPr>
          <w:rFonts w:hint="eastAsia" w:ascii="宋体" w:hAnsi="宋体" w:eastAsia="宋体" w:cs="宋体"/>
          <w:spacing w:val="-6"/>
          <w:sz w:val="31"/>
          <w:szCs w:val="31"/>
        </w:rPr>
        <w:t xml:space="preserve">  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住房保障支出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3.66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>5.58</w:t>
      </w:r>
      <w:r>
        <w:rPr>
          <w:rFonts w:hint="eastAsia" w:ascii="仿宋" w:hAnsi="仿宋" w:eastAsia="仿宋" w:cs="仿宋"/>
          <w:spacing w:val="-6"/>
          <w:sz w:val="31"/>
          <w:szCs w:val="31"/>
        </w:rPr>
        <w:t>%</w:t>
      </w:r>
      <w:r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  <w:t>。</w:t>
      </w:r>
    </w:p>
    <w:p w14:paraId="548163E9">
      <w:pPr>
        <w:spacing w:before="251" w:line="364" w:lineRule="auto"/>
        <w:ind w:left="68" w:right="7" w:firstLine="603"/>
        <w:jc w:val="both"/>
        <w:rPr>
          <w:rFonts w:hint="eastAsia" w:ascii="仿宋" w:hAnsi="仿宋" w:eastAsia="仿宋" w:cs="仿宋"/>
          <w:spacing w:val="-6"/>
          <w:sz w:val="31"/>
          <w:szCs w:val="31"/>
          <w:lang w:eastAsia="zh-CN"/>
        </w:rPr>
      </w:pPr>
    </w:p>
    <w:p w14:paraId="423BA233">
      <w:pPr>
        <w:numPr>
          <w:ilvl w:val="0"/>
          <w:numId w:val="2"/>
        </w:numPr>
        <w:spacing w:before="52" w:line="223" w:lineRule="auto"/>
        <w:ind w:left="659"/>
        <w:outlineLvl w:val="2"/>
        <w:rPr>
          <w:rFonts w:ascii="仿宋" w:hAnsi="仿宋" w:eastAsia="仿宋" w:cs="仿宋"/>
          <w:b/>
          <w:bCs/>
          <w:color w:val="auto"/>
          <w:spacing w:val="4"/>
          <w:sz w:val="31"/>
          <w:szCs w:val="31"/>
        </w:rPr>
      </w:pPr>
      <w:r>
        <w:rPr>
          <w:rFonts w:ascii="仿宋" w:hAnsi="仿宋" w:eastAsia="仿宋" w:cs="仿宋"/>
          <w:b/>
          <w:bCs/>
          <w:color w:val="auto"/>
          <w:spacing w:val="4"/>
          <w:sz w:val="31"/>
          <w:szCs w:val="31"/>
        </w:rPr>
        <w:t>一般公共预算财政拨款支出决算具体情况</w:t>
      </w:r>
    </w:p>
    <w:p w14:paraId="1FD53D2E">
      <w:pPr>
        <w:spacing w:before="54" w:line="361" w:lineRule="auto"/>
        <w:ind w:left="30" w:firstLine="660"/>
        <w:rPr>
          <w:rFonts w:ascii="宋体" w:hAnsi="宋体" w:eastAsia="宋体" w:cs="宋体"/>
          <w:color w:val="auto"/>
          <w:spacing w:val="-12"/>
          <w:sz w:val="31"/>
          <w:szCs w:val="31"/>
        </w:rPr>
      </w:pP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2023 年度一般公共预算财政拨款支出年初预算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为41.73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万元，支出决算为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65.61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万元，完成年初预算的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157.23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%。其中：</w:t>
      </w:r>
    </w:p>
    <w:p w14:paraId="46837559">
      <w:pPr>
        <w:spacing w:before="54" w:line="361" w:lineRule="auto"/>
        <w:ind w:left="30" w:firstLine="660"/>
        <w:rPr>
          <w:rFonts w:ascii="宋体" w:hAnsi="宋体" w:eastAsia="宋体" w:cs="宋体"/>
          <w:color w:val="auto"/>
          <w:spacing w:val="-12"/>
          <w:sz w:val="31"/>
          <w:szCs w:val="31"/>
        </w:rPr>
      </w:pP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1.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</w:rPr>
        <w:t>社会保障和就业支出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。年初预算为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38.89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万元，支出决算为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61.95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万元，完成年初预算的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159.3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%。决算数大于预算数的主要原因是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</w:rPr>
        <w:t>员变动相应人员经费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eastAsia="zh-CN"/>
        </w:rPr>
        <w:t>增加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。</w:t>
      </w:r>
    </w:p>
    <w:p w14:paraId="032BE653">
      <w:pPr>
        <w:spacing w:before="54" w:line="361" w:lineRule="auto"/>
        <w:ind w:left="30" w:firstLine="660"/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2.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</w:rPr>
        <w:t xml:space="preserve"> 住房保障支出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。年初预算为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2.84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万元，支出决算为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3.66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万元，完成年初预算的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128.87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%。决算数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大于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预算数的主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</w:rPr>
        <w:t>要原因是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新增人员缴纳住房公积金。</w:t>
      </w:r>
    </w:p>
    <w:p w14:paraId="5118AB33">
      <w:pPr>
        <w:spacing w:before="54" w:line="361" w:lineRule="auto"/>
        <w:ind w:left="30" w:firstLine="660"/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</w:pPr>
    </w:p>
    <w:p w14:paraId="0E50D94A">
      <w:pPr>
        <w:numPr>
          <w:ilvl w:val="0"/>
          <w:numId w:val="3"/>
        </w:numPr>
        <w:spacing w:before="101" w:line="224" w:lineRule="auto"/>
        <w:ind w:left="677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一般公共预算财政拨款基本支出决算情况说明</w:t>
      </w:r>
    </w:p>
    <w:p w14:paraId="118D48CF">
      <w:pPr>
        <w:numPr>
          <w:ilvl w:val="0"/>
          <w:numId w:val="0"/>
        </w:numPr>
        <w:spacing w:before="101" w:line="224" w:lineRule="auto"/>
        <w:rPr>
          <w:rFonts w:ascii="黑体" w:hAnsi="黑体" w:eastAsia="黑体" w:cs="黑体"/>
          <w:spacing w:val="8"/>
          <w:sz w:val="31"/>
          <w:szCs w:val="31"/>
        </w:rPr>
      </w:pPr>
    </w:p>
    <w:p w14:paraId="1256D7D0">
      <w:pPr>
        <w:spacing w:before="54" w:line="361" w:lineRule="auto"/>
        <w:ind w:firstLine="286" w:firstLineChars="100"/>
        <w:rPr>
          <w:rFonts w:ascii="宋体" w:hAnsi="宋体" w:eastAsia="宋体" w:cs="宋体"/>
          <w:color w:val="auto"/>
          <w:spacing w:val="-12"/>
          <w:sz w:val="31"/>
          <w:szCs w:val="31"/>
        </w:rPr>
      </w:pP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2023年度一般公共预算财政拨款基本支出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val="en-US" w:eastAsia="zh-CN"/>
        </w:rPr>
        <w:t>62.97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万元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eastAsia="zh-CN"/>
        </w:rPr>
        <w:t>，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其中：</w:t>
      </w:r>
    </w:p>
    <w:p w14:paraId="56CFE31F">
      <w:pPr>
        <w:spacing w:before="54" w:line="361" w:lineRule="auto"/>
        <w:ind w:left="30" w:firstLine="660"/>
        <w:rPr>
          <w:rFonts w:hint="eastAsia" w:ascii="宋体" w:hAnsi="宋体" w:eastAsia="宋体" w:cs="宋体"/>
          <w:color w:val="auto"/>
          <w:spacing w:val="-12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-12"/>
          <w:sz w:val="31"/>
          <w:szCs w:val="31"/>
        </w:rPr>
        <w:t>人员经费</w:t>
      </w:r>
      <w:r>
        <w:rPr>
          <w:rFonts w:hint="eastAsia" w:ascii="宋体" w:hAnsi="宋体" w:eastAsia="宋体" w:cs="宋体"/>
          <w:b/>
          <w:bCs/>
          <w:color w:val="auto"/>
          <w:spacing w:val="-12"/>
          <w:sz w:val="31"/>
          <w:szCs w:val="31"/>
          <w:lang w:val="en-US" w:eastAsia="zh-CN"/>
        </w:rPr>
        <w:t>54.42</w:t>
      </w:r>
      <w:r>
        <w:rPr>
          <w:rFonts w:ascii="宋体" w:hAnsi="宋体" w:eastAsia="宋体" w:cs="宋体"/>
          <w:b/>
          <w:bCs/>
          <w:color w:val="auto"/>
          <w:spacing w:val="-12"/>
          <w:sz w:val="31"/>
          <w:szCs w:val="31"/>
        </w:rPr>
        <w:t>万元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，主要包括：基本工资、津贴补贴、奖金、机关事业单位基本养老保险缴 费、职业年金缴费、职工基本医疗保险缴费、其他社会保障缴费、住房公积金、退休费和其他对个人和家庭的补助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eastAsia="zh-CN"/>
        </w:rPr>
        <w:t>。</w:t>
      </w:r>
    </w:p>
    <w:p w14:paraId="1E4164F5">
      <w:pPr>
        <w:spacing w:before="54" w:line="361" w:lineRule="auto"/>
        <w:ind w:left="30" w:firstLine="660"/>
        <w:rPr>
          <w:rFonts w:hint="eastAsia" w:ascii="宋体" w:hAnsi="宋体" w:eastAsia="宋体" w:cs="宋体"/>
          <w:color w:val="auto"/>
          <w:spacing w:val="-12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color w:val="auto"/>
          <w:spacing w:val="-12"/>
          <w:sz w:val="31"/>
          <w:szCs w:val="31"/>
        </w:rPr>
        <w:t>公用经费</w:t>
      </w:r>
      <w:r>
        <w:rPr>
          <w:rFonts w:hint="eastAsia" w:ascii="宋体" w:hAnsi="宋体" w:eastAsia="宋体" w:cs="宋体"/>
          <w:b/>
          <w:bCs/>
          <w:color w:val="auto"/>
          <w:spacing w:val="-12"/>
          <w:sz w:val="31"/>
          <w:szCs w:val="31"/>
          <w:lang w:val="en-US" w:eastAsia="zh-CN"/>
        </w:rPr>
        <w:t>8.55</w:t>
      </w:r>
      <w:r>
        <w:rPr>
          <w:rFonts w:ascii="宋体" w:hAnsi="宋体" w:eastAsia="宋体" w:cs="宋体"/>
          <w:b/>
          <w:bCs/>
          <w:color w:val="auto"/>
          <w:spacing w:val="-12"/>
          <w:sz w:val="31"/>
          <w:szCs w:val="31"/>
        </w:rPr>
        <w:t>万元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，主要包括：办公费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eastAsia="zh-CN"/>
        </w:rPr>
        <w:t>、</w:t>
      </w:r>
      <w:r>
        <w:rPr>
          <w:rFonts w:ascii="宋体" w:hAnsi="宋体" w:eastAsia="宋体" w:cs="宋体"/>
          <w:color w:val="auto"/>
          <w:spacing w:val="-12"/>
          <w:sz w:val="31"/>
          <w:szCs w:val="31"/>
        </w:rPr>
        <w:t>邮电费、差旅费、租赁费、劳务费、工会经费、其他交通费用、其他商品和服务支出、办公设备购置</w:t>
      </w:r>
      <w:r>
        <w:rPr>
          <w:rFonts w:hint="eastAsia" w:ascii="宋体" w:hAnsi="宋体" w:eastAsia="宋体" w:cs="宋体"/>
          <w:color w:val="auto"/>
          <w:spacing w:val="-12"/>
          <w:sz w:val="31"/>
          <w:szCs w:val="31"/>
          <w:lang w:eastAsia="zh-CN"/>
        </w:rPr>
        <w:t>。</w:t>
      </w:r>
    </w:p>
    <w:p w14:paraId="25F3F2B0">
      <w:pPr>
        <w:pStyle w:val="2"/>
        <w:spacing w:line="256" w:lineRule="auto"/>
      </w:pPr>
    </w:p>
    <w:p w14:paraId="464A32F7">
      <w:pPr>
        <w:pStyle w:val="2"/>
        <w:spacing w:line="256" w:lineRule="auto"/>
      </w:pPr>
    </w:p>
    <w:p w14:paraId="3D6D2634">
      <w:pPr>
        <w:spacing w:before="101" w:line="224" w:lineRule="auto"/>
        <w:ind w:firstLine="328" w:firstLineChars="1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七、政府性基金预算财政拨款收入支出决算</w:t>
      </w:r>
      <w:r>
        <w:rPr>
          <w:rFonts w:ascii="黑体" w:hAnsi="黑体" w:eastAsia="黑体" w:cs="黑体"/>
          <w:spacing w:val="8"/>
          <w:sz w:val="31"/>
          <w:szCs w:val="31"/>
        </w:rPr>
        <w:t>情况说明</w:t>
      </w:r>
    </w:p>
    <w:p w14:paraId="1437B050">
      <w:pPr>
        <w:spacing w:before="304" w:line="185" w:lineRule="auto"/>
        <w:ind w:left="666"/>
        <w:rPr>
          <w:rFonts w:hint="eastAsia" w:ascii="仿宋" w:hAnsi="仿宋" w:eastAsia="仿宋"/>
          <w:sz w:val="32"/>
          <w:szCs w:val="30"/>
          <w:lang w:eastAsia="zh-CN"/>
        </w:rPr>
      </w:pPr>
      <w:r>
        <w:rPr>
          <w:rFonts w:hint="eastAsia" w:ascii="仿宋" w:hAnsi="仿宋" w:eastAsia="仿宋"/>
          <w:sz w:val="32"/>
          <w:szCs w:val="30"/>
        </w:rPr>
        <w:t>202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0"/>
        </w:rPr>
        <w:t>年度</w:t>
      </w:r>
      <w:r>
        <w:rPr>
          <w:rFonts w:hint="eastAsia" w:ascii="仿宋" w:hAnsi="仿宋" w:eastAsia="仿宋"/>
          <w:sz w:val="32"/>
          <w:szCs w:val="30"/>
          <w:lang w:eastAsia="zh-CN"/>
        </w:rPr>
        <w:t>我部门无</w:t>
      </w:r>
      <w:r>
        <w:rPr>
          <w:rFonts w:hint="eastAsia" w:ascii="仿宋" w:hAnsi="仿宋" w:eastAsia="仿宋"/>
          <w:sz w:val="32"/>
          <w:szCs w:val="30"/>
        </w:rPr>
        <w:t>政府性基金预算财政拨款</w:t>
      </w:r>
      <w:r>
        <w:rPr>
          <w:rFonts w:hint="eastAsia" w:ascii="仿宋" w:hAnsi="仿宋" w:eastAsia="仿宋"/>
          <w:sz w:val="32"/>
          <w:szCs w:val="30"/>
          <w:lang w:eastAsia="zh-CN"/>
        </w:rPr>
        <w:t>支出。</w:t>
      </w:r>
    </w:p>
    <w:p w14:paraId="31560EE0">
      <w:pPr>
        <w:spacing w:before="304" w:line="185" w:lineRule="auto"/>
        <w:ind w:left="666"/>
        <w:rPr>
          <w:rFonts w:hint="eastAsia" w:ascii="仿宋" w:hAnsi="仿宋" w:eastAsia="仿宋"/>
          <w:sz w:val="32"/>
          <w:szCs w:val="30"/>
          <w:lang w:eastAsia="zh-CN"/>
        </w:rPr>
      </w:pPr>
    </w:p>
    <w:p w14:paraId="3F3396D6">
      <w:pPr>
        <w:spacing w:before="158" w:line="224" w:lineRule="auto"/>
        <w:ind w:firstLine="324" w:firstLineChars="10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八、国有资本经营预算财政拨款支出决算情况说明</w:t>
      </w:r>
    </w:p>
    <w:p w14:paraId="65FC2A08">
      <w:pPr>
        <w:spacing w:before="248" w:line="220" w:lineRule="auto"/>
        <w:ind w:firstLine="648" w:firstLineChars="200"/>
        <w:rPr>
          <w:rFonts w:hint="eastAsia" w:ascii="仿宋" w:hAnsi="仿宋" w:eastAsia="仿宋" w:cs="仿宋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7"/>
          <w:sz w:val="31"/>
          <w:szCs w:val="31"/>
        </w:rPr>
        <w:t>202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3 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我部门无</w:t>
      </w:r>
      <w:r>
        <w:rPr>
          <w:rFonts w:ascii="仿宋" w:hAnsi="仿宋" w:eastAsia="仿宋" w:cs="仿宋"/>
          <w:spacing w:val="7"/>
          <w:sz w:val="31"/>
          <w:szCs w:val="31"/>
        </w:rPr>
        <w:t>年度国有资本经营预算财政拨款支出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。</w:t>
      </w:r>
    </w:p>
    <w:p w14:paraId="71A68435">
      <w:pPr>
        <w:pStyle w:val="2"/>
        <w:spacing w:line="256" w:lineRule="auto"/>
      </w:pPr>
    </w:p>
    <w:p w14:paraId="7B0829DE">
      <w:pPr>
        <w:pStyle w:val="2"/>
        <w:spacing w:line="256" w:lineRule="auto"/>
      </w:pPr>
    </w:p>
    <w:p w14:paraId="0EFB4011">
      <w:pPr>
        <w:spacing w:before="101" w:line="224" w:lineRule="auto"/>
        <w:ind w:firstLine="326" w:firstLineChars="1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九、财政拨款“三公”经费支出决算情况说明</w:t>
      </w:r>
    </w:p>
    <w:p w14:paraId="1782BF1F">
      <w:pPr>
        <w:spacing w:line="221" w:lineRule="auto"/>
        <w:rPr>
          <w:rFonts w:ascii="仿宋" w:hAnsi="仿宋" w:eastAsia="仿宋" w:cs="仿宋"/>
          <w:sz w:val="31"/>
          <w:szCs w:val="31"/>
        </w:rPr>
      </w:pPr>
    </w:p>
    <w:p w14:paraId="48101CEC">
      <w:pPr>
        <w:spacing w:before="47" w:line="355" w:lineRule="auto"/>
        <w:ind w:left="25" w:right="89" w:firstLine="649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/>
          <w:sz w:val="32"/>
          <w:szCs w:val="30"/>
        </w:rPr>
        <w:t>202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0"/>
        </w:rPr>
        <w:t>年度</w:t>
      </w:r>
      <w:r>
        <w:rPr>
          <w:rFonts w:hint="eastAsia" w:ascii="仿宋" w:hAnsi="仿宋" w:eastAsia="仿宋"/>
          <w:sz w:val="32"/>
          <w:szCs w:val="30"/>
          <w:lang w:eastAsia="zh-CN"/>
        </w:rPr>
        <w:t>我部门无</w:t>
      </w:r>
      <w:r>
        <w:rPr>
          <w:rFonts w:hint="eastAsia" w:ascii="仿宋" w:hAnsi="仿宋" w:eastAsia="仿宋"/>
          <w:sz w:val="32"/>
          <w:szCs w:val="30"/>
        </w:rPr>
        <w:t>“三公”经费财政拨款支出</w:t>
      </w:r>
      <w:r>
        <w:rPr>
          <w:rFonts w:hint="eastAsia" w:ascii="仿宋" w:hAnsi="仿宋" w:eastAsia="仿宋"/>
          <w:sz w:val="32"/>
          <w:szCs w:val="30"/>
          <w:lang w:eastAsia="zh-CN"/>
        </w:rPr>
        <w:t>。</w:t>
      </w:r>
    </w:p>
    <w:p w14:paraId="06EC9AAA">
      <w:pPr>
        <w:pStyle w:val="2"/>
        <w:spacing w:line="287" w:lineRule="auto"/>
      </w:pPr>
    </w:p>
    <w:p w14:paraId="444AF9B0">
      <w:pPr>
        <w:spacing w:before="101" w:line="224" w:lineRule="auto"/>
        <w:ind w:firstLine="322" w:firstLineChars="100"/>
        <w:outlineLvl w:val="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十、关于</w:t>
      </w:r>
      <w:r>
        <w:rPr>
          <w:rFonts w:ascii="黑体" w:hAnsi="黑体" w:eastAsia="黑体" w:cs="黑体"/>
          <w:spacing w:val="-52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</w:rPr>
        <w:t>2023</w:t>
      </w:r>
      <w:r>
        <w:rPr>
          <w:rFonts w:ascii="黑体" w:hAnsi="黑体" w:eastAsia="黑体" w:cs="黑体"/>
          <w:spacing w:val="-63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6"/>
          <w:sz w:val="31"/>
          <w:szCs w:val="31"/>
        </w:rPr>
        <w:t>年度绩效评价情况说明</w:t>
      </w:r>
    </w:p>
    <w:p w14:paraId="3F7BC0C5">
      <w:pPr>
        <w:spacing w:before="47" w:line="355" w:lineRule="auto"/>
        <w:ind w:left="25" w:right="89" w:firstLine="649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（一）绩效评价工作开展情况。绩效评价工作开展情况说明为：根据预算绩效管理要求，本部门组织对 2023 年度一般公共预算项目支出全面开展绩效自评</w:t>
      </w:r>
      <w:r>
        <w:rPr>
          <w:rFonts w:hint="eastAsia" w:ascii="仿宋" w:hAnsi="仿宋" w:eastAsia="仿宋"/>
          <w:sz w:val="32"/>
          <w:szCs w:val="30"/>
          <w:lang w:eastAsia="zh-CN"/>
        </w:rPr>
        <w:t>，</w:t>
      </w:r>
      <w:r>
        <w:rPr>
          <w:rFonts w:hint="eastAsia" w:ascii="仿宋" w:hAnsi="仿宋" w:eastAsia="仿宋"/>
          <w:sz w:val="32"/>
          <w:szCs w:val="30"/>
        </w:rPr>
        <w:t>其中，一级项目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0"/>
        </w:rPr>
        <w:t>个，共涉及资金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0"/>
        </w:rPr>
        <w:t>万元， 占一般公共预算项目支出总额的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0"/>
        </w:rPr>
        <w:t>%。</w:t>
      </w:r>
    </w:p>
    <w:p w14:paraId="3E13459B">
      <w:pPr>
        <w:spacing w:before="47" w:line="355" w:lineRule="auto"/>
        <w:ind w:left="25" w:right="89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组织对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2023年度</w:t>
      </w:r>
      <w:r>
        <w:rPr>
          <w:rFonts w:hint="eastAsia" w:ascii="仿宋" w:hAnsi="仿宋" w:eastAsia="仿宋"/>
          <w:sz w:val="32"/>
          <w:szCs w:val="32"/>
          <w:highlight w:val="none"/>
        </w:rPr>
        <w:t>部门预算宣传培训业务费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项目、代理记账费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项目</w:t>
      </w:r>
      <w:r>
        <w:rPr>
          <w:rFonts w:ascii="仿宋" w:hAnsi="仿宋" w:eastAsia="仿宋" w:cs="仿宋"/>
          <w:spacing w:val="10"/>
          <w:sz w:val="31"/>
          <w:szCs w:val="31"/>
        </w:rPr>
        <w:t>等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10"/>
          <w:sz w:val="31"/>
          <w:szCs w:val="31"/>
        </w:rPr>
        <w:t>个项目开展了部门绩效评</w:t>
      </w:r>
      <w:r>
        <w:rPr>
          <w:rFonts w:ascii="仿宋" w:hAnsi="仿宋" w:eastAsia="仿宋" w:cs="仿宋"/>
          <w:spacing w:val="9"/>
          <w:sz w:val="31"/>
          <w:szCs w:val="31"/>
        </w:rPr>
        <w:t>价，涉及一般公共预算支出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9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highlight w:val="none"/>
        </w:rPr>
        <w:t>绩效自评率为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100</w:t>
      </w:r>
      <w:r>
        <w:rPr>
          <w:rFonts w:ascii="仿宋" w:hAnsi="仿宋" w:eastAsia="仿宋"/>
          <w:sz w:val="32"/>
          <w:szCs w:val="32"/>
          <w:highlight w:val="none"/>
        </w:rPr>
        <w:t>%</w:t>
      </w:r>
      <w:r>
        <w:rPr>
          <w:rFonts w:hint="eastAsia" w:ascii="仿宋" w:hAnsi="仿宋" w:eastAsia="仿宋"/>
          <w:sz w:val="32"/>
          <w:szCs w:val="32"/>
          <w:highlight w:val="none"/>
        </w:rPr>
        <w:t>。</w:t>
      </w:r>
    </w:p>
    <w:p w14:paraId="53CC9E4C">
      <w:pPr>
        <w:spacing w:before="47" w:line="355" w:lineRule="auto"/>
        <w:ind w:left="25" w:right="89" w:firstLine="649"/>
        <w:rPr>
          <w:rFonts w:ascii="仿宋" w:hAnsi="仿宋" w:eastAsia="仿宋" w:cs="仿宋"/>
          <w:spacing w:val="10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组织对本部门开展整体支出绩效评价，涉及一般公共预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算</w:t>
      </w:r>
      <w:r>
        <w:rPr>
          <w:rFonts w:ascii="仿宋" w:hAnsi="仿宋" w:eastAsia="仿宋" w:cs="仿宋"/>
          <w:spacing w:val="10"/>
          <w:sz w:val="31"/>
          <w:szCs w:val="31"/>
        </w:rPr>
        <w:t>支出</w:t>
      </w:r>
      <w:r>
        <w:rPr>
          <w:rFonts w:hint="eastAsia" w:ascii="仿宋" w:hAnsi="仿宋" w:eastAsia="仿宋" w:cs="仿宋"/>
          <w:spacing w:val="10"/>
          <w:sz w:val="31"/>
          <w:szCs w:val="31"/>
          <w:lang w:val="en-US" w:eastAsia="zh-CN"/>
        </w:rPr>
        <w:t>1</w:t>
      </w:r>
      <w:r>
        <w:rPr>
          <w:rFonts w:ascii="仿宋" w:hAnsi="仿宋" w:eastAsia="仿宋" w:cs="仿宋"/>
          <w:spacing w:val="10"/>
          <w:sz w:val="31"/>
          <w:szCs w:val="31"/>
        </w:rPr>
        <w:t>万元。</w:t>
      </w:r>
    </w:p>
    <w:p w14:paraId="2E4809BE">
      <w:pPr>
        <w:numPr>
          <w:ilvl w:val="0"/>
          <w:numId w:val="0"/>
        </w:numPr>
        <w:spacing w:before="253" w:line="356" w:lineRule="auto"/>
        <w:ind w:right="22" w:rightChars="0" w:firstLine="640" w:firstLineChars="200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0"/>
        </w:rPr>
        <w:t>（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0"/>
        </w:rPr>
        <w:t>）</w:t>
      </w:r>
      <w:r>
        <w:rPr>
          <w:rFonts w:hint="eastAsia" w:ascii="仿宋" w:hAnsi="仿宋" w:eastAsia="仿宋"/>
          <w:sz w:val="32"/>
          <w:szCs w:val="32"/>
          <w:highlight w:val="none"/>
        </w:rPr>
        <w:t>项目绩效自评结果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。</w:t>
      </w:r>
    </w:p>
    <w:p w14:paraId="46A226E1">
      <w:pPr>
        <w:numPr>
          <w:ilvl w:val="0"/>
          <w:numId w:val="0"/>
        </w:numPr>
        <w:spacing w:before="253" w:line="356" w:lineRule="auto"/>
        <w:ind w:right="22" w:rightChars="0" w:firstLine="640" w:firstLineChars="200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部门预算宣传培训业务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费项目绩效自评情况：根据年初设定的绩效目标，目绩效自评得分为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42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分。项目全年预算数为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0.3 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 xml:space="preserve">万元，执行数为 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0.3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万元，完成预算的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%。</w:t>
      </w:r>
    </w:p>
    <w:p w14:paraId="2CF3D96B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3" w:line="356" w:lineRule="auto"/>
        <w:ind w:right="23" w:rightChars="0" w:firstLine="640" w:firstLineChars="200"/>
        <w:textAlignment w:val="baseline"/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代理记账费项目绩效自评情况：根据年初设定的绩效目标，目绩效自评得分为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45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分。项目全年预算数为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0.7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万元，执行数为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0.7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万元，完成预算的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%。</w:t>
      </w:r>
    </w:p>
    <w:p w14:paraId="21837366">
      <w:pPr>
        <w:pStyle w:val="2"/>
        <w:spacing w:line="339" w:lineRule="auto"/>
      </w:pPr>
    </w:p>
    <w:p w14:paraId="2AA8EDDE">
      <w:pPr>
        <w:spacing w:before="100" w:line="224" w:lineRule="auto"/>
        <w:ind w:left="67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十一、其他重要事项情况说明</w:t>
      </w:r>
    </w:p>
    <w:p w14:paraId="73225B6B">
      <w:pPr>
        <w:spacing w:before="248" w:line="222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一）机关运行经费执行情况说明</w:t>
      </w:r>
    </w:p>
    <w:p w14:paraId="35D8239D">
      <w:pPr>
        <w:spacing w:before="251" w:line="357" w:lineRule="auto"/>
        <w:ind w:left="19" w:right="170" w:firstLine="652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年度机关运行经费支出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8.55</w:t>
      </w:r>
      <w:r>
        <w:rPr>
          <w:rFonts w:ascii="仿宋" w:hAnsi="仿宋" w:eastAsia="仿宋" w:cs="仿宋"/>
          <w:spacing w:val="7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7"/>
          <w:sz w:val="31"/>
          <w:szCs w:val="31"/>
        </w:rPr>
        <w:t>较</w:t>
      </w:r>
      <w:r>
        <w:rPr>
          <w:rFonts w:ascii="宋体" w:hAnsi="宋体" w:eastAsia="宋体" w:cs="宋体"/>
          <w:spacing w:val="7"/>
          <w:sz w:val="31"/>
          <w:szCs w:val="31"/>
        </w:rPr>
        <w:t>2022</w:t>
      </w:r>
      <w:r>
        <w:rPr>
          <w:rFonts w:ascii="仿宋" w:hAnsi="仿宋" w:eastAsia="仿宋" w:cs="仿宋"/>
          <w:spacing w:val="7"/>
          <w:sz w:val="31"/>
          <w:szCs w:val="31"/>
        </w:rPr>
        <w:t>年度增加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7.2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533.59</w:t>
      </w:r>
      <w:r>
        <w:rPr>
          <w:rFonts w:ascii="仿宋" w:hAnsi="仿宋" w:eastAsia="仿宋" w:cs="仿宋"/>
          <w:spacing w:val="7"/>
          <w:sz w:val="31"/>
          <w:szCs w:val="31"/>
        </w:rPr>
        <w:t>%，主要是</w:t>
      </w:r>
      <w:r>
        <w:rPr>
          <w:rFonts w:hint="eastAsia" w:ascii="仿宋" w:hAnsi="仿宋" w:eastAsia="仿宋" w:cs="仿宋"/>
          <w:spacing w:val="-4"/>
          <w:sz w:val="31"/>
          <w:szCs w:val="31"/>
        </w:rPr>
        <w:t>较上年增加网费、审计费、车补</w:t>
      </w:r>
      <w:r>
        <w:rPr>
          <w:rFonts w:hint="eastAsia" w:ascii="仿宋" w:hAnsi="仿宋" w:eastAsia="仿宋" w:cs="仿宋"/>
          <w:spacing w:val="-4"/>
          <w:sz w:val="31"/>
          <w:szCs w:val="31"/>
          <w:lang w:val="en-US" w:eastAsia="zh-CN"/>
        </w:rPr>
        <w:t>等</w:t>
      </w:r>
      <w:r>
        <w:rPr>
          <w:rFonts w:ascii="仿宋" w:hAnsi="仿宋" w:eastAsia="仿宋" w:cs="仿宋"/>
          <w:spacing w:val="-5"/>
          <w:sz w:val="31"/>
          <w:szCs w:val="31"/>
        </w:rPr>
        <w:t>。</w:t>
      </w:r>
    </w:p>
    <w:p w14:paraId="597FD644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（二）政府采购支出情况说明</w:t>
      </w:r>
    </w:p>
    <w:p w14:paraId="6EB5D2DB">
      <w:pPr>
        <w:spacing w:before="249" w:line="368" w:lineRule="auto"/>
        <w:ind w:left="29" w:right="24" w:firstLine="64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 xml:space="preserve">2023 </w:t>
      </w:r>
      <w:r>
        <w:rPr>
          <w:rFonts w:ascii="仿宋" w:hAnsi="仿宋" w:eastAsia="仿宋" w:cs="仿宋"/>
          <w:spacing w:val="8"/>
          <w:sz w:val="31"/>
          <w:szCs w:val="31"/>
        </w:rPr>
        <w:t>年度政府采购支出总额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0.42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7"/>
          <w:sz w:val="31"/>
          <w:szCs w:val="31"/>
        </w:rPr>
        <w:t>其中：政府采购货物支出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0.42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万元、政府采购工程支出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万元、政府采购服务支</w:t>
      </w:r>
      <w:r>
        <w:rPr>
          <w:rFonts w:ascii="仿宋" w:hAnsi="仿宋" w:eastAsia="仿宋" w:cs="仿宋"/>
          <w:spacing w:val="4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万元。授予中小企业合同金额</w:t>
      </w:r>
      <w:r>
        <w:rPr>
          <w:rFonts w:hint="eastAsia" w:ascii="仿宋" w:hAnsi="仿宋" w:eastAsia="仿宋" w:cs="仿宋"/>
          <w:spacing w:val="2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占政府采购支出</w:t>
      </w:r>
      <w:r>
        <w:rPr>
          <w:rFonts w:ascii="仿宋" w:hAnsi="仿宋" w:eastAsia="仿宋" w:cs="仿宋"/>
          <w:spacing w:val="5"/>
          <w:sz w:val="31"/>
          <w:szCs w:val="31"/>
        </w:rPr>
        <w:t>总额的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5"/>
          <w:sz w:val="31"/>
          <w:szCs w:val="31"/>
        </w:rPr>
        <w:t>%</w:t>
      </w:r>
      <w:r>
        <w:rPr>
          <w:rFonts w:ascii="仿宋" w:hAnsi="仿宋" w:eastAsia="仿宋" w:cs="仿宋"/>
          <w:spacing w:val="5"/>
          <w:sz w:val="31"/>
          <w:szCs w:val="31"/>
        </w:rPr>
        <w:t>，其中：授予小微企业合同金额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万元，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占授予中</w:t>
      </w:r>
      <w:r>
        <w:rPr>
          <w:rFonts w:ascii="仿宋" w:hAnsi="仿宋" w:eastAsia="仿宋" w:cs="仿宋"/>
          <w:spacing w:val="8"/>
          <w:sz w:val="31"/>
          <w:szCs w:val="31"/>
        </w:rPr>
        <w:t>小企业合同金额的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；货物采购授予中小企业合同金额占货物支出金额的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hint="eastAsia" w:ascii="宋体" w:hAnsi="宋体" w:eastAsia="宋体" w:cs="宋体"/>
          <w:spacing w:val="8"/>
          <w:sz w:val="31"/>
          <w:szCs w:val="31"/>
          <w:lang w:eastAsia="zh-CN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工程采购授予中小企业合同金额占工程支出金额的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，服务采购授予中小企业合同金额占服务支出金</w:t>
      </w:r>
      <w:r>
        <w:rPr>
          <w:rFonts w:ascii="仿宋" w:hAnsi="仿宋" w:eastAsia="仿宋" w:cs="仿宋"/>
          <w:spacing w:val="2"/>
          <w:sz w:val="31"/>
          <w:szCs w:val="31"/>
        </w:rPr>
        <w:t>额的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</w:p>
    <w:p w14:paraId="618D4CED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（三）国有资产占用情况说明</w:t>
      </w:r>
    </w:p>
    <w:p w14:paraId="53D88EA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6" w:line="341" w:lineRule="auto"/>
        <w:ind w:left="21" w:firstLine="650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截至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>2023</w:t>
      </w:r>
      <w:r>
        <w:rPr>
          <w:rFonts w:ascii="宋体" w:hAnsi="宋体" w:eastAsia="宋体" w:cs="宋体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年 </w:t>
      </w:r>
      <w:r>
        <w:rPr>
          <w:rFonts w:ascii="宋体" w:hAnsi="宋体" w:eastAsia="宋体" w:cs="宋体"/>
          <w:sz w:val="31"/>
          <w:szCs w:val="31"/>
        </w:rPr>
        <w:t xml:space="preserve">12 </w:t>
      </w:r>
      <w:r>
        <w:rPr>
          <w:rFonts w:ascii="仿宋" w:hAnsi="仿宋" w:eastAsia="仿宋" w:cs="仿宋"/>
          <w:sz w:val="31"/>
          <w:szCs w:val="31"/>
        </w:rPr>
        <w:t>月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宋体" w:hAnsi="宋体" w:eastAsia="宋体" w:cs="宋体"/>
          <w:sz w:val="31"/>
          <w:szCs w:val="31"/>
        </w:rPr>
        <w:t xml:space="preserve">31 </w:t>
      </w:r>
      <w:r>
        <w:rPr>
          <w:rFonts w:ascii="仿宋" w:hAnsi="仿宋" w:eastAsia="仿宋" w:cs="仿宋"/>
          <w:sz w:val="31"/>
          <w:szCs w:val="31"/>
        </w:rPr>
        <w:t>日，</w:t>
      </w:r>
      <w:r>
        <w:rPr>
          <w:rFonts w:hint="eastAsia" w:ascii="仿宋" w:hAnsi="仿宋" w:eastAsia="仿宋" w:cs="Times New Roman"/>
          <w:sz w:val="32"/>
          <w:lang w:eastAsia="zh-CN"/>
        </w:rPr>
        <w:t>长春市南关区红十字会</w:t>
      </w:r>
      <w:r>
        <w:rPr>
          <w:rFonts w:ascii="仿宋" w:hAnsi="仿宋" w:eastAsia="仿宋" w:cs="仿宋"/>
          <w:spacing w:val="-1"/>
          <w:sz w:val="31"/>
          <w:szCs w:val="31"/>
        </w:rPr>
        <w:t>共</w:t>
      </w:r>
      <w:r>
        <w:rPr>
          <w:rFonts w:hint="eastAsia" w:ascii="仿宋" w:hAnsi="仿宋" w:eastAsia="仿宋" w:cs="Times New Roman"/>
          <w:sz w:val="32"/>
          <w:lang w:eastAsia="zh-CN"/>
        </w:rPr>
        <w:t>有车辆</w:t>
      </w:r>
      <w:r>
        <w:rPr>
          <w:rFonts w:hint="eastAsia" w:ascii="仿宋" w:hAnsi="仿宋" w:eastAsia="仿宋" w:cs="Times New Roman"/>
          <w:sz w:val="32"/>
          <w:lang w:val="en-US" w:eastAsia="zh-CN"/>
        </w:rPr>
        <w:t>1</w:t>
      </w:r>
      <w:r>
        <w:rPr>
          <w:rFonts w:hint="eastAsia" w:ascii="仿宋" w:hAnsi="仿宋" w:eastAsia="仿宋" w:cs="Times New Roman"/>
          <w:sz w:val="32"/>
          <w:lang w:eastAsia="zh-CN"/>
        </w:rPr>
        <w:t>辆，其中，副部（省）级及以上领导用车</w:t>
      </w:r>
      <w:r>
        <w:rPr>
          <w:rFonts w:hint="eastAsia" w:ascii="仿宋" w:hAnsi="仿宋" w:eastAsia="仿宋" w:cs="Times New Roman"/>
          <w:sz w:val="32"/>
          <w:lang w:val="en-US" w:eastAsia="zh-CN"/>
        </w:rPr>
        <w:t>0</w:t>
      </w:r>
      <w:r>
        <w:rPr>
          <w:rFonts w:hint="eastAsia" w:ascii="仿宋" w:hAnsi="仿宋" w:eastAsia="仿宋" w:cs="Times New Roman"/>
          <w:sz w:val="32"/>
          <w:lang w:eastAsia="zh-CN"/>
        </w:rPr>
        <w:t>辆、主要负责人用车</w:t>
      </w:r>
      <w:r>
        <w:rPr>
          <w:rFonts w:hint="eastAsia" w:ascii="仿宋" w:hAnsi="仿宋" w:eastAsia="仿宋" w:cs="Times New Roman"/>
          <w:sz w:val="32"/>
          <w:lang w:val="en-US" w:eastAsia="zh-CN"/>
        </w:rPr>
        <w:t>0</w:t>
      </w:r>
      <w:r>
        <w:rPr>
          <w:rFonts w:hint="eastAsia" w:ascii="仿宋" w:hAnsi="仿宋" w:eastAsia="仿宋" w:cs="Times New Roman"/>
          <w:sz w:val="32"/>
          <w:lang w:eastAsia="zh-CN"/>
        </w:rPr>
        <w:t>辆、机要通信用车</w:t>
      </w:r>
      <w:r>
        <w:rPr>
          <w:rFonts w:hint="eastAsia" w:ascii="仿宋" w:hAnsi="仿宋" w:eastAsia="仿宋" w:cs="Times New Roman"/>
          <w:sz w:val="32"/>
          <w:lang w:val="en-US" w:eastAsia="zh-CN"/>
        </w:rPr>
        <w:t>0</w:t>
      </w:r>
      <w:r>
        <w:rPr>
          <w:rFonts w:hint="eastAsia" w:ascii="仿宋" w:hAnsi="仿宋" w:eastAsia="仿宋" w:cs="Times New Roman"/>
          <w:sz w:val="32"/>
          <w:lang w:eastAsia="zh-CN"/>
        </w:rPr>
        <w:t>辆、应急保障用车</w:t>
      </w:r>
      <w:r>
        <w:rPr>
          <w:rFonts w:hint="eastAsia" w:ascii="仿宋" w:hAnsi="仿宋" w:eastAsia="仿宋" w:cs="Times New Roman"/>
          <w:sz w:val="32"/>
          <w:lang w:val="en-US" w:eastAsia="zh-CN"/>
        </w:rPr>
        <w:t>0</w:t>
      </w:r>
      <w:r>
        <w:rPr>
          <w:rFonts w:hint="eastAsia" w:ascii="仿宋" w:hAnsi="仿宋" w:eastAsia="仿宋" w:cs="Times New Roman"/>
          <w:sz w:val="32"/>
          <w:lang w:eastAsia="zh-CN"/>
        </w:rPr>
        <w:t>辆、执法执勤用车</w:t>
      </w:r>
      <w:r>
        <w:rPr>
          <w:rFonts w:hint="eastAsia" w:ascii="仿宋" w:hAnsi="仿宋" w:eastAsia="仿宋" w:cs="Times New Roman"/>
          <w:sz w:val="32"/>
          <w:lang w:val="en-US" w:eastAsia="zh-CN"/>
        </w:rPr>
        <w:t>0</w:t>
      </w:r>
      <w:r>
        <w:rPr>
          <w:rFonts w:hint="eastAsia" w:ascii="仿宋" w:hAnsi="仿宋" w:eastAsia="仿宋" w:cs="Times New Roman"/>
          <w:sz w:val="32"/>
          <w:lang w:eastAsia="zh-CN"/>
        </w:rPr>
        <w:t>辆、特种专业技术用车</w:t>
      </w:r>
      <w:r>
        <w:rPr>
          <w:rFonts w:hint="eastAsia" w:ascii="仿宋" w:hAnsi="仿宋" w:eastAsia="仿宋" w:cs="Times New Roman"/>
          <w:sz w:val="32"/>
          <w:lang w:val="en-US" w:eastAsia="zh-CN"/>
        </w:rPr>
        <w:t>0</w:t>
      </w:r>
      <w:r>
        <w:rPr>
          <w:rFonts w:hint="eastAsia" w:ascii="仿宋" w:hAnsi="仿宋" w:eastAsia="仿宋" w:cs="Times New Roman"/>
          <w:sz w:val="32"/>
          <w:lang w:eastAsia="zh-CN"/>
        </w:rPr>
        <w:t xml:space="preserve"> 辆、离退休干部用车</w:t>
      </w:r>
      <w:r>
        <w:rPr>
          <w:rFonts w:hint="eastAsia" w:ascii="仿宋" w:hAnsi="仿宋" w:eastAsia="仿宋" w:cs="Times New Roman"/>
          <w:sz w:val="32"/>
          <w:lang w:val="en-US" w:eastAsia="zh-CN"/>
        </w:rPr>
        <w:t>0</w:t>
      </w:r>
      <w:r>
        <w:rPr>
          <w:rFonts w:hint="eastAsia" w:ascii="仿宋" w:hAnsi="仿宋" w:eastAsia="仿宋" w:cs="Times New Roman"/>
          <w:sz w:val="32"/>
          <w:lang w:eastAsia="zh-CN"/>
        </w:rPr>
        <w:t>辆、其他用车</w:t>
      </w:r>
      <w:r>
        <w:rPr>
          <w:rFonts w:hint="eastAsia" w:ascii="仿宋" w:hAnsi="仿宋" w:eastAsia="仿宋" w:cs="Times New Roman"/>
          <w:sz w:val="32"/>
          <w:lang w:val="en-US" w:eastAsia="zh-CN"/>
        </w:rPr>
        <w:t>1</w:t>
      </w:r>
      <w:r>
        <w:rPr>
          <w:rFonts w:hint="eastAsia" w:ascii="仿宋" w:hAnsi="仿宋" w:eastAsia="仿宋" w:cs="Times New Roman"/>
          <w:sz w:val="32"/>
          <w:lang w:eastAsia="zh-CN"/>
        </w:rPr>
        <w:t xml:space="preserve"> 辆，其他用车主要是</w:t>
      </w:r>
      <w:r>
        <w:rPr>
          <w:rFonts w:hint="eastAsia" w:ascii="仿宋" w:hAnsi="仿宋" w:eastAsia="仿宋" w:cs="Times New Roman"/>
          <w:sz w:val="32"/>
          <w:lang w:val="en-US" w:eastAsia="zh-CN"/>
        </w:rPr>
        <w:t>救护车</w:t>
      </w:r>
      <w:r>
        <w:rPr>
          <w:rFonts w:hint="eastAsia" w:ascii="仿宋" w:hAnsi="仿宋" w:eastAsia="仿宋" w:cs="Times New Roman"/>
          <w:sz w:val="32"/>
          <w:lang w:eastAsia="zh-CN"/>
        </w:rPr>
        <w:t xml:space="preserve">；单位价值 100 </w:t>
      </w:r>
      <w:r>
        <w:rPr>
          <w:rFonts w:ascii="仿宋" w:hAnsi="仿宋" w:eastAsia="仿宋" w:cs="仿宋"/>
          <w:spacing w:val="2"/>
          <w:sz w:val="31"/>
          <w:szCs w:val="31"/>
        </w:rPr>
        <w:t>万元（含）以上设备（不含车辆）</w:t>
      </w:r>
      <w:r>
        <w:rPr>
          <w:rFonts w:hint="eastAsia" w:ascii="宋体" w:hAnsi="宋体" w:eastAsia="宋体" w:cs="宋体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台（套）。</w:t>
      </w:r>
    </w:p>
    <w:p w14:paraId="5034830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1" w:lineRule="auto"/>
        <w:textAlignment w:val="baseline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7" w:h="16839"/>
          <w:pgMar w:top="1431" w:right="1417" w:bottom="1153" w:left="1417" w:header="0" w:footer="965" w:gutter="0"/>
          <w:cols w:space="720" w:num="1"/>
        </w:sectPr>
      </w:pPr>
    </w:p>
    <w:p w14:paraId="0AA4E898">
      <w:pPr>
        <w:spacing w:before="225" w:line="443" w:lineRule="exact"/>
        <w:ind w:left="2186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第四部分</w:t>
      </w:r>
      <w:r>
        <w:rPr>
          <w:rFonts w:ascii="微软雅黑" w:hAnsi="微软雅黑" w:eastAsia="微软雅黑" w:cs="微软雅黑"/>
          <w:spacing w:val="2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名词解释</w:t>
      </w:r>
    </w:p>
    <w:p w14:paraId="65AC90DB">
      <w:pPr>
        <w:pStyle w:val="2"/>
        <w:spacing w:line="315" w:lineRule="auto"/>
      </w:pPr>
    </w:p>
    <w:p w14:paraId="3F7B532E">
      <w:pPr>
        <w:pStyle w:val="2"/>
        <w:spacing w:line="315" w:lineRule="auto"/>
      </w:pPr>
    </w:p>
    <w:p w14:paraId="2CC2B74D">
      <w:pPr>
        <w:pStyle w:val="2"/>
        <w:spacing w:line="315" w:lineRule="auto"/>
      </w:pPr>
    </w:p>
    <w:p w14:paraId="7BCB0A44">
      <w:pPr>
        <w:spacing w:before="100" w:line="297" w:lineRule="auto"/>
        <w:ind w:left="39" w:right="13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一、财政拨款收入：</w:t>
      </w:r>
      <w:r>
        <w:rPr>
          <w:rFonts w:ascii="仿宋" w:hAnsi="仿宋" w:eastAsia="仿宋" w:cs="仿宋"/>
          <w:spacing w:val="6"/>
          <w:sz w:val="31"/>
          <w:szCs w:val="31"/>
        </w:rPr>
        <w:t>指单位从同级财政部门取得的财政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预算资金。</w:t>
      </w:r>
    </w:p>
    <w:p w14:paraId="786450C0">
      <w:pPr>
        <w:spacing w:before="250" w:line="297" w:lineRule="auto"/>
        <w:ind w:left="30" w:right="1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二、上级补助收入：</w:t>
      </w:r>
      <w:r>
        <w:rPr>
          <w:rFonts w:ascii="仿宋" w:hAnsi="仿宋" w:eastAsia="仿宋" w:cs="仿宋"/>
          <w:spacing w:val="6"/>
          <w:sz w:val="31"/>
          <w:szCs w:val="31"/>
        </w:rPr>
        <w:t>指从主管部门和上级单位取得的非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财政补助收入。</w:t>
      </w:r>
    </w:p>
    <w:p w14:paraId="50CFC2A6">
      <w:pPr>
        <w:spacing w:before="249" w:line="298" w:lineRule="auto"/>
        <w:ind w:left="44" w:right="18" w:firstLine="64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三、事业收入：指事业单位开展专业业务活动及辅助活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1"/>
          <w:szCs w:val="31"/>
        </w:rPr>
        <w:t>动取得的收入。</w:t>
      </w:r>
    </w:p>
    <w:p w14:paraId="25F8EF15">
      <w:pPr>
        <w:spacing w:before="249" w:line="297" w:lineRule="auto"/>
        <w:ind w:left="44" w:right="16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四、经营收入：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指事业单位在专业业务活动及其辅助活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动之外开展非独立核算经营活动取得的收入。</w:t>
      </w:r>
    </w:p>
    <w:p w14:paraId="407FD9BA">
      <w:pPr>
        <w:spacing w:before="249" w:line="298" w:lineRule="auto"/>
        <w:ind w:left="28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五、附属单位上缴收入：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指事业单位附属独立核算单位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按照有关规定上缴的收入。</w:t>
      </w:r>
    </w:p>
    <w:p w14:paraId="21EC0405">
      <w:pPr>
        <w:spacing w:before="246" w:line="347" w:lineRule="auto"/>
        <w:ind w:left="29" w:right="14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六、其他收入：</w:t>
      </w:r>
      <w:r>
        <w:rPr>
          <w:rFonts w:ascii="仿宋" w:hAnsi="仿宋" w:eastAsia="仿宋" w:cs="仿宋"/>
          <w:spacing w:val="7"/>
          <w:sz w:val="31"/>
          <w:szCs w:val="31"/>
        </w:rPr>
        <w:t>指除上述收入以外的各项收入。包括未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纳入财政预算或财政专户管理的投资收益、银</w:t>
      </w:r>
      <w:r>
        <w:rPr>
          <w:rFonts w:ascii="仿宋" w:hAnsi="仿宋" w:eastAsia="仿宋" w:cs="仿宋"/>
          <w:spacing w:val="8"/>
          <w:sz w:val="31"/>
          <w:szCs w:val="31"/>
        </w:rPr>
        <w:t>行存款利息收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入、租金收入、捐赠收入，现金盘盈收入、存货</w:t>
      </w:r>
      <w:r>
        <w:rPr>
          <w:rFonts w:ascii="仿宋" w:hAnsi="仿宋" w:eastAsia="仿宋" w:cs="仿宋"/>
          <w:spacing w:val="8"/>
          <w:sz w:val="31"/>
          <w:szCs w:val="31"/>
        </w:rPr>
        <w:t>盘盈收入、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收回已核销应收及预付款项、无法偿付的应付及</w:t>
      </w:r>
      <w:r>
        <w:rPr>
          <w:rFonts w:ascii="仿宋" w:hAnsi="仿宋" w:eastAsia="仿宋" w:cs="仿宋"/>
          <w:spacing w:val="8"/>
          <w:sz w:val="31"/>
          <w:szCs w:val="31"/>
        </w:rPr>
        <w:t>预收款项，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从省财政以外的同级单位取得的经费、从非省</w:t>
      </w:r>
      <w:r>
        <w:rPr>
          <w:rFonts w:ascii="仿宋" w:hAnsi="仿宋" w:eastAsia="仿宋" w:cs="仿宋"/>
          <w:spacing w:val="8"/>
          <w:sz w:val="31"/>
          <w:szCs w:val="31"/>
        </w:rPr>
        <w:t>财政取得的经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费，以及行政单位收到的财政专户管理资金等。</w:t>
      </w:r>
    </w:p>
    <w:p w14:paraId="39A2F677">
      <w:pPr>
        <w:spacing w:before="252" w:line="322" w:lineRule="auto"/>
        <w:ind w:left="28" w:right="10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七、使用非财政拨款结余（含专用结余</w:t>
      </w:r>
      <w:r>
        <w:rPr>
          <w:rFonts w:ascii="仿宋" w:hAnsi="仿宋" w:eastAsia="仿宋" w:cs="仿宋"/>
          <w:b/>
          <w:bCs/>
          <w:spacing w:val="16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sz w:val="31"/>
          <w:szCs w:val="31"/>
        </w:rPr>
        <w:t>指事业单位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按照预算管理要求使用非财政拨款结余弥补收支差额的金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额，以及使用专用结余安排支出的金额。</w:t>
      </w:r>
    </w:p>
    <w:p w14:paraId="6BAED8B4">
      <w:pPr>
        <w:spacing w:before="249" w:line="220" w:lineRule="auto"/>
        <w:ind w:right="1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八、年初结转和结余：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指单位以前年度尚未完成、结转</w:t>
      </w:r>
    </w:p>
    <w:p w14:paraId="22779464"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00325C42">
      <w:pPr>
        <w:spacing w:before="160" w:line="357" w:lineRule="auto"/>
        <w:ind w:left="46" w:right="189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到本年按有关规定用途继续使用的资金，或项目已完成等产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生的结余资金。</w:t>
      </w:r>
    </w:p>
    <w:p w14:paraId="0635FE2C">
      <w:pPr>
        <w:spacing w:before="48" w:line="355" w:lineRule="auto"/>
        <w:ind w:left="32" w:right="155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九、结余分配：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指事业单位按照会计制度规定缴纳的所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得税、提取的专用结余以及转入非财政拨款结余的金额等。</w:t>
      </w:r>
    </w:p>
    <w:p w14:paraId="2E6DF258">
      <w:pPr>
        <w:spacing w:before="54" w:line="364" w:lineRule="auto"/>
        <w:ind w:left="29" w:right="153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十、年末结转和结余：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指单位按有关规定结</w:t>
      </w:r>
      <w:r>
        <w:rPr>
          <w:rFonts w:ascii="仿宋" w:hAnsi="仿宋" w:eastAsia="仿宋" w:cs="仿宋"/>
          <w:spacing w:val="6"/>
          <w:sz w:val="31"/>
          <w:szCs w:val="31"/>
        </w:rPr>
        <w:t>转到下年或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以后年度继续使用的资金，或项目已完成等产生的结余资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金。</w:t>
      </w:r>
    </w:p>
    <w:p w14:paraId="27A2805D">
      <w:pPr>
        <w:spacing w:before="39" w:line="297" w:lineRule="auto"/>
        <w:ind w:left="30" w:right="15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十一、基本支出：</w:t>
      </w:r>
      <w:r>
        <w:rPr>
          <w:rFonts w:ascii="仿宋" w:hAnsi="仿宋" w:eastAsia="仿宋" w:cs="仿宋"/>
          <w:spacing w:val="7"/>
          <w:sz w:val="31"/>
          <w:szCs w:val="31"/>
        </w:rPr>
        <w:t>指为保障机构正常运转、完成日常工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作任务而发生的人员支出和公用支出。</w:t>
      </w:r>
    </w:p>
    <w:p w14:paraId="10525B2C">
      <w:pPr>
        <w:spacing w:before="250" w:line="298" w:lineRule="auto"/>
        <w:ind w:left="33" w:right="154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十二、项目支出：</w:t>
      </w:r>
      <w:r>
        <w:rPr>
          <w:rFonts w:ascii="仿宋" w:hAnsi="仿宋" w:eastAsia="仿宋" w:cs="仿宋"/>
          <w:spacing w:val="7"/>
          <w:sz w:val="31"/>
          <w:szCs w:val="31"/>
        </w:rPr>
        <w:t>指在基本支出之外为完成特定行政任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务或事业发展目标所发生的支出。</w:t>
      </w:r>
    </w:p>
    <w:p w14:paraId="531CE8AB">
      <w:pPr>
        <w:spacing w:before="249" w:line="297" w:lineRule="auto"/>
        <w:ind w:left="44" w:right="155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十三、经营支出：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活动之外开展非独立核算经营活动发生的支出。</w:t>
      </w:r>
    </w:p>
    <w:p w14:paraId="4F21A9B9">
      <w:pPr>
        <w:spacing w:before="249" w:line="297" w:lineRule="auto"/>
        <w:ind w:left="40" w:right="15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十四、上缴上级支出：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指事业单位按照有关</w:t>
      </w:r>
      <w:r>
        <w:rPr>
          <w:rFonts w:ascii="仿宋" w:hAnsi="仿宋" w:eastAsia="仿宋" w:cs="仿宋"/>
          <w:spacing w:val="6"/>
          <w:sz w:val="31"/>
          <w:szCs w:val="31"/>
        </w:rPr>
        <w:t>规定上缴上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级单位的支出。</w:t>
      </w:r>
    </w:p>
    <w:p w14:paraId="664CEAA5">
      <w:pPr>
        <w:spacing w:before="251" w:line="297" w:lineRule="auto"/>
        <w:ind w:left="29" w:right="15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十五、对附属单位补助支出：</w:t>
      </w:r>
      <w:r>
        <w:rPr>
          <w:rFonts w:ascii="仿宋" w:hAnsi="仿宋" w:eastAsia="仿宋" w:cs="仿宋"/>
          <w:spacing w:val="6"/>
          <w:sz w:val="31"/>
          <w:szCs w:val="31"/>
        </w:rPr>
        <w:t>指事业单位用财政补助收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入之外的收入对附属单位补助发生的支出。</w:t>
      </w:r>
    </w:p>
    <w:p w14:paraId="3272B169">
      <w:pPr>
        <w:spacing w:before="252" w:line="342" w:lineRule="auto"/>
        <w:ind w:left="25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十六、“三公”经费：</w:t>
      </w:r>
      <w:r>
        <w:rPr>
          <w:rFonts w:ascii="仿宋" w:hAnsi="仿宋" w:eastAsia="仿宋" w:cs="仿宋"/>
          <w:spacing w:val="7"/>
          <w:sz w:val="31"/>
          <w:szCs w:val="31"/>
        </w:rPr>
        <w:t>纳入省级财政预决算</w:t>
      </w:r>
      <w:r>
        <w:rPr>
          <w:rFonts w:ascii="仿宋" w:hAnsi="仿宋" w:eastAsia="仿宋" w:cs="仿宋"/>
          <w:spacing w:val="6"/>
          <w:sz w:val="31"/>
          <w:szCs w:val="31"/>
        </w:rPr>
        <w:t>管理的“三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公”经费，是指省级部门用财政拨款安排的因公出国（境）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费、公务用车购置及运行维护费和公务接待费。是党</w:t>
      </w:r>
      <w:r>
        <w:rPr>
          <w:rFonts w:ascii="仿宋" w:hAnsi="仿宋" w:eastAsia="仿宋" w:cs="仿宋"/>
          <w:spacing w:val="8"/>
          <w:sz w:val="31"/>
          <w:szCs w:val="31"/>
        </w:rPr>
        <w:t>政机关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维持运转或完成特定工作任务所开支的相关支出，</w:t>
      </w:r>
      <w:r>
        <w:rPr>
          <w:rFonts w:ascii="仿宋" w:hAnsi="仿宋" w:eastAsia="仿宋" w:cs="仿宋"/>
          <w:spacing w:val="8"/>
          <w:sz w:val="31"/>
          <w:szCs w:val="31"/>
        </w:rPr>
        <w:t>是政府行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2"/>
          <w:sz w:val="31"/>
          <w:szCs w:val="31"/>
        </w:rPr>
        <w:t>政开支的一部分。其中，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因公出国（境）费反映公</w:t>
      </w:r>
      <w:r>
        <w:rPr>
          <w:rFonts w:ascii="仿宋" w:hAnsi="仿宋" w:eastAsia="仿宋" w:cs="仿宋"/>
          <w:spacing w:val="-13"/>
          <w:sz w:val="31"/>
          <w:szCs w:val="31"/>
        </w:rPr>
        <w:t>务出国（境）</w:t>
      </w:r>
    </w:p>
    <w:p w14:paraId="32601A4F">
      <w:pPr>
        <w:spacing w:line="342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7" w:h="16839"/>
          <w:pgMar w:top="1431" w:right="1646" w:bottom="1153" w:left="1785" w:header="0" w:footer="965" w:gutter="0"/>
          <w:cols w:space="720" w:num="1"/>
        </w:sectPr>
      </w:pPr>
    </w:p>
    <w:p w14:paraId="4E3F6606">
      <w:pPr>
        <w:spacing w:before="155" w:line="366" w:lineRule="auto"/>
        <w:ind w:left="25" w:firstLine="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的国际旅费、国外城市间交通费、住宿费、伙食费、培训费、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公杂费等支出；公务用车购置及运行费反映单位公务用</w:t>
      </w:r>
      <w:r>
        <w:rPr>
          <w:rFonts w:ascii="仿宋" w:hAnsi="仿宋" w:eastAsia="仿宋" w:cs="仿宋"/>
          <w:spacing w:val="8"/>
          <w:sz w:val="31"/>
          <w:szCs w:val="31"/>
        </w:rPr>
        <w:t>车车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辆购置支出（含车辆购置税）及燃料费、维修费、过桥</w:t>
      </w:r>
      <w:r>
        <w:rPr>
          <w:rFonts w:ascii="仿宋" w:hAnsi="仿宋" w:eastAsia="仿宋" w:cs="仿宋"/>
          <w:spacing w:val="8"/>
          <w:sz w:val="31"/>
          <w:szCs w:val="31"/>
        </w:rPr>
        <w:t>过路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费、保险费、安全奖励费等支出；公务接待费反映单位</w:t>
      </w:r>
      <w:r>
        <w:rPr>
          <w:rFonts w:ascii="仿宋" w:hAnsi="仿宋" w:eastAsia="仿宋" w:cs="仿宋"/>
          <w:spacing w:val="8"/>
          <w:sz w:val="31"/>
          <w:szCs w:val="31"/>
        </w:rPr>
        <w:t>按规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定开支的各类公务接待（含外宾接待）支出。</w:t>
      </w:r>
    </w:p>
    <w:p w14:paraId="44AB977B">
      <w:pPr>
        <w:spacing w:before="48" w:line="347" w:lineRule="auto"/>
        <w:ind w:left="26" w:right="9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十七、机关运行经费：</w:t>
      </w:r>
      <w:r>
        <w:rPr>
          <w:rFonts w:ascii="仿宋" w:hAnsi="仿宋" w:eastAsia="仿宋" w:cs="仿宋"/>
          <w:spacing w:val="7"/>
          <w:sz w:val="31"/>
          <w:szCs w:val="31"/>
        </w:rPr>
        <w:t>指为保障行政单位（包</w:t>
      </w:r>
      <w:r>
        <w:rPr>
          <w:rFonts w:ascii="仿宋" w:hAnsi="仿宋" w:eastAsia="仿宋" w:cs="仿宋"/>
          <w:spacing w:val="6"/>
          <w:sz w:val="31"/>
          <w:szCs w:val="31"/>
        </w:rPr>
        <w:t>括参照公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务员法管理的事业单位）运行用于购买货物和服务的</w:t>
      </w:r>
      <w:r>
        <w:rPr>
          <w:rFonts w:ascii="仿宋" w:hAnsi="仿宋" w:eastAsia="仿宋" w:cs="仿宋"/>
          <w:spacing w:val="8"/>
          <w:sz w:val="31"/>
          <w:szCs w:val="31"/>
        </w:rPr>
        <w:t>各项资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金，包括办公费、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印刷费、邮电费、差旅费、会议费、福利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费、日常维修费、专用材料及一般设备购置费、</w:t>
      </w:r>
      <w:r>
        <w:rPr>
          <w:rFonts w:ascii="仿宋" w:hAnsi="仿宋" w:eastAsia="仿宋" w:cs="仿宋"/>
          <w:spacing w:val="8"/>
          <w:sz w:val="31"/>
          <w:szCs w:val="31"/>
        </w:rPr>
        <w:t>办公用房水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电费、办公用房取暖费、办公用房物业管理费、</w:t>
      </w:r>
      <w:r>
        <w:rPr>
          <w:rFonts w:ascii="仿宋" w:hAnsi="仿宋" w:eastAsia="仿宋" w:cs="仿宋"/>
          <w:spacing w:val="8"/>
          <w:sz w:val="31"/>
          <w:szCs w:val="31"/>
        </w:rPr>
        <w:t>公务用车运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行维护费以及其他费用。</w:t>
      </w:r>
    </w:p>
    <w:p w14:paraId="04514603">
      <w:pPr>
        <w:spacing w:before="250" w:line="322" w:lineRule="auto"/>
        <w:ind w:left="43" w:right="93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十八、</w:t>
      </w: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******</w:t>
      </w:r>
      <w:r>
        <w:rPr>
          <w:rFonts w:ascii="仿宋" w:hAnsi="仿宋" w:eastAsia="仿宋" w:cs="仿宋"/>
          <w:spacing w:val="6"/>
          <w:sz w:val="31"/>
          <w:szCs w:val="31"/>
        </w:rPr>
        <w:t>（对部门使用的所有“项”级政府收支分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类科目，参照《</w:t>
      </w: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年政府收支分类科目》中的科目说明和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中央部门决算公开内容进行说明</w:t>
      </w:r>
      <w:r>
        <w:rPr>
          <w:rFonts w:ascii="仿宋" w:hAnsi="仿宋" w:eastAsia="仿宋" w:cs="仿宋"/>
          <w:spacing w:val="19"/>
          <w:sz w:val="31"/>
          <w:szCs w:val="31"/>
        </w:rPr>
        <w:t>）：</w:t>
      </w:r>
    </w:p>
    <w:p w14:paraId="07B69B7F">
      <w:pPr>
        <w:spacing w:before="250" w:line="224" w:lineRule="auto"/>
        <w:ind w:left="68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十九、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…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…（同上）</w:t>
      </w:r>
    </w:p>
    <w:p w14:paraId="1180FA95">
      <w:pPr>
        <w:spacing w:before="249" w:line="355" w:lineRule="auto"/>
        <w:ind w:left="26" w:right="98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注：</w:t>
      </w:r>
      <w:r>
        <w:rPr>
          <w:rFonts w:ascii="仿宋" w:hAnsi="仿宋" w:eastAsia="仿宋" w:cs="仿宋"/>
          <w:color w:val="FF0000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5"/>
          <w:sz w:val="31"/>
          <w:szCs w:val="31"/>
        </w:rPr>
        <w:t>以上名词解释供参考，可以根据本单位实际情况进</w:t>
      </w:r>
      <w:r>
        <w:rPr>
          <w:rFonts w:ascii="仿宋" w:hAnsi="仿宋" w:eastAsia="仿宋" w:cs="仿宋"/>
          <w:color w:val="FF0000"/>
          <w:sz w:val="31"/>
          <w:szCs w:val="31"/>
        </w:rPr>
        <w:t xml:space="preserve"> </w:t>
      </w:r>
      <w:r>
        <w:rPr>
          <w:rFonts w:ascii="仿宋" w:hAnsi="仿宋" w:eastAsia="仿宋" w:cs="仿宋"/>
          <w:color w:val="FF0000"/>
          <w:spacing w:val="3"/>
          <w:sz w:val="31"/>
          <w:szCs w:val="31"/>
        </w:rPr>
        <w:t>行增减并重新编辑序号。</w:t>
      </w:r>
    </w:p>
    <w:sectPr>
      <w:footerReference r:id="rId11" w:type="default"/>
      <w:pgSz w:w="11907" w:h="16839"/>
      <w:pgMar w:top="1431" w:right="1705" w:bottom="1153" w:left="1785" w:header="0" w:footer="9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C1C76">
    <w:pPr>
      <w:spacing w:line="17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69ED9">
    <w:pPr>
      <w:spacing w:line="177" w:lineRule="auto"/>
      <w:ind w:left="411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90D2B">
    <w:pPr>
      <w:spacing w:line="17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790CC5">
    <w:pPr>
      <w:spacing w:line="177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4D901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54EC5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D414B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F0BC78"/>
    <w:multiLevelType w:val="singleLevel"/>
    <w:tmpl w:val="95F0BC78"/>
    <w:lvl w:ilvl="0" w:tentative="0">
      <w:start w:val="3"/>
      <w:numFmt w:val="chineseCounting"/>
      <w:suff w:val="space"/>
      <w:lvlText w:val="（%1）"/>
      <w:lvlJc w:val="left"/>
      <w:rPr>
        <w:rFonts w:hint="eastAsia"/>
      </w:rPr>
    </w:lvl>
  </w:abstractNum>
  <w:abstractNum w:abstractNumId="1">
    <w:nsid w:val="ED978887"/>
    <w:multiLevelType w:val="singleLevel"/>
    <w:tmpl w:val="ED9788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90DDFA7"/>
    <w:multiLevelType w:val="singleLevel"/>
    <w:tmpl w:val="F90DDFA7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k5MzhhYmVjMTJiODZmYzNiYTYyODQxY2Y2YTgwNzgifQ=="/>
  </w:docVars>
  <w:rsids>
    <w:rsidRoot w:val="00000000"/>
    <w:rsid w:val="01460D92"/>
    <w:rsid w:val="06FF7102"/>
    <w:rsid w:val="103E1033"/>
    <w:rsid w:val="15A53438"/>
    <w:rsid w:val="1786443E"/>
    <w:rsid w:val="23B34764"/>
    <w:rsid w:val="26F13133"/>
    <w:rsid w:val="29E746FA"/>
    <w:rsid w:val="2E97611F"/>
    <w:rsid w:val="34991992"/>
    <w:rsid w:val="37397100"/>
    <w:rsid w:val="4D3D7B89"/>
    <w:rsid w:val="56FA5424"/>
    <w:rsid w:val="57B5470F"/>
    <w:rsid w:val="717C1858"/>
    <w:rsid w:val="7B4909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5" Type="http://schemas.openxmlformats.org/officeDocument/2006/relationships/image" Target="media/image3.png"/><Relationship Id="rId14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4611</Words>
  <Characters>4947</Characters>
  <TotalTime>9</TotalTime>
  <ScaleCrop>false</ScaleCrop>
  <LinksUpToDate>false</LinksUpToDate>
  <CharactersWithSpaces>5070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2024-08-07T08:54:00Z</dcterms:created>
  <dc:creator>王志强</dc:creator>
  <cp:lastModifiedBy>喜欢 的小丸子</cp:lastModifiedBy>
  <dcterms:modified xsi:type="dcterms:W3CDTF">2024-11-27T08:55:37Z</dcterms:modified>
  <dc:title>2015年度部门决算公开模板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2024-08-29T09:58:09Z</vt:filetime>
  </property>
  <property fmtid="{D5CDD505-2E9C-101B-9397-08002B2CF9AE}" pid="4" name="KSOProductBuildVer">
    <vt:lpwstr>2052-12.1.0.18912</vt:lpwstr>
  </property>
  <property fmtid="{D5CDD505-2E9C-101B-9397-08002B2CF9AE}" pid="5" name="ICV">
    <vt:lpwstr>A4342772059240ADA3477A6959710BC8_12</vt:lpwstr>
  </property>
</Properties>
</file>