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F41E1">
      <w:pPr>
        <w:spacing w:before="180" w:line="219" w:lineRule="auto"/>
        <w:ind w:left="47" w:firstLine="248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</w:rPr>
        <w:t>1：</w:t>
      </w:r>
    </w:p>
    <w:p w14:paraId="3A8F9758">
      <w:pPr>
        <w:pStyle w:val="2"/>
        <w:spacing w:line="251" w:lineRule="auto"/>
      </w:pPr>
    </w:p>
    <w:p w14:paraId="473EC96C">
      <w:pPr>
        <w:pStyle w:val="2"/>
        <w:spacing w:line="251" w:lineRule="auto"/>
      </w:pPr>
    </w:p>
    <w:p w14:paraId="33BEA478">
      <w:pPr>
        <w:pStyle w:val="2"/>
        <w:spacing w:line="252" w:lineRule="auto"/>
      </w:pPr>
    </w:p>
    <w:p w14:paraId="7907BE61">
      <w:pPr>
        <w:pStyle w:val="2"/>
        <w:spacing w:line="252" w:lineRule="auto"/>
      </w:pPr>
    </w:p>
    <w:p w14:paraId="635DB378">
      <w:pPr>
        <w:pStyle w:val="2"/>
        <w:spacing w:line="252" w:lineRule="auto"/>
      </w:pPr>
    </w:p>
    <w:p w14:paraId="15DF57A7">
      <w:pPr>
        <w:pStyle w:val="2"/>
        <w:spacing w:line="252" w:lineRule="auto"/>
      </w:pPr>
    </w:p>
    <w:p w14:paraId="6EBA368E">
      <w:pPr>
        <w:pStyle w:val="2"/>
        <w:spacing w:line="252" w:lineRule="auto"/>
      </w:pPr>
    </w:p>
    <w:p w14:paraId="53A52EB2">
      <w:pPr>
        <w:pStyle w:val="2"/>
        <w:spacing w:line="252" w:lineRule="auto"/>
      </w:pPr>
    </w:p>
    <w:p w14:paraId="6603029A">
      <w:pPr>
        <w:pStyle w:val="2"/>
        <w:spacing w:line="252" w:lineRule="auto"/>
      </w:pPr>
    </w:p>
    <w:p w14:paraId="674B5491">
      <w:pPr>
        <w:pStyle w:val="2"/>
        <w:spacing w:line="252" w:lineRule="auto"/>
      </w:pPr>
    </w:p>
    <w:p w14:paraId="2E60D41C">
      <w:pPr>
        <w:pStyle w:val="2"/>
        <w:spacing w:line="252" w:lineRule="auto"/>
      </w:pPr>
    </w:p>
    <w:p w14:paraId="64AD7929">
      <w:pPr>
        <w:pStyle w:val="2"/>
        <w:spacing w:line="252" w:lineRule="auto"/>
      </w:pPr>
    </w:p>
    <w:p w14:paraId="3262460F">
      <w:pPr>
        <w:pStyle w:val="2"/>
        <w:spacing w:line="252" w:lineRule="auto"/>
      </w:pPr>
    </w:p>
    <w:p w14:paraId="78AB15CC">
      <w:pPr>
        <w:spacing w:before="180" w:line="187" w:lineRule="auto"/>
        <w:ind w:left="325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宋体" w:hAnsi="宋体" w:eastAsia="宋体" w:cs="宋体"/>
          <w:spacing w:val="4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4"/>
          <w:sz w:val="42"/>
          <w:szCs w:val="42"/>
        </w:rPr>
        <w:t>年度</w:t>
      </w:r>
    </w:p>
    <w:p w14:paraId="3012BBDD">
      <w:pPr>
        <w:pStyle w:val="2"/>
        <w:spacing w:line="477" w:lineRule="auto"/>
      </w:pPr>
    </w:p>
    <w:p w14:paraId="4B2AB86D">
      <w:pPr>
        <w:spacing w:before="189" w:line="181" w:lineRule="auto"/>
        <w:jc w:val="center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pacing w:val="34"/>
          <w:sz w:val="44"/>
          <w:szCs w:val="44"/>
        </w:rPr>
        <w:t>长春市南关区民族宗教事务局</w:t>
      </w:r>
      <w:r>
        <w:rPr>
          <w:rFonts w:ascii="微软雅黑" w:hAnsi="微软雅黑" w:eastAsia="微软雅黑" w:cs="微软雅黑"/>
          <w:spacing w:val="34"/>
          <w:sz w:val="44"/>
          <w:szCs w:val="44"/>
        </w:rPr>
        <w:t>部门决算</w:t>
      </w:r>
    </w:p>
    <w:p w14:paraId="43F2E7E4">
      <w:pPr>
        <w:pStyle w:val="2"/>
        <w:spacing w:line="242" w:lineRule="auto"/>
      </w:pPr>
    </w:p>
    <w:p w14:paraId="0717B0BA">
      <w:pPr>
        <w:pStyle w:val="2"/>
        <w:spacing w:line="242" w:lineRule="auto"/>
      </w:pPr>
    </w:p>
    <w:p w14:paraId="4E71AD4C">
      <w:pPr>
        <w:pStyle w:val="2"/>
        <w:spacing w:line="242" w:lineRule="auto"/>
      </w:pPr>
    </w:p>
    <w:p w14:paraId="34B80542">
      <w:pPr>
        <w:pStyle w:val="2"/>
        <w:spacing w:line="242" w:lineRule="auto"/>
      </w:pPr>
    </w:p>
    <w:p w14:paraId="43666FF1">
      <w:pPr>
        <w:pStyle w:val="2"/>
        <w:spacing w:line="242" w:lineRule="auto"/>
      </w:pPr>
    </w:p>
    <w:p w14:paraId="2CCA4BC4">
      <w:pPr>
        <w:pStyle w:val="2"/>
        <w:spacing w:line="242" w:lineRule="auto"/>
      </w:pPr>
    </w:p>
    <w:p w14:paraId="52F413B2">
      <w:pPr>
        <w:pStyle w:val="2"/>
        <w:spacing w:line="242" w:lineRule="auto"/>
      </w:pPr>
    </w:p>
    <w:p w14:paraId="7C850BE7">
      <w:pPr>
        <w:pStyle w:val="2"/>
        <w:spacing w:line="242" w:lineRule="auto"/>
      </w:pPr>
    </w:p>
    <w:p w14:paraId="39FF91A3">
      <w:pPr>
        <w:pStyle w:val="2"/>
        <w:spacing w:line="242" w:lineRule="auto"/>
      </w:pPr>
    </w:p>
    <w:p w14:paraId="02BAD37C">
      <w:pPr>
        <w:pStyle w:val="2"/>
        <w:spacing w:line="242" w:lineRule="auto"/>
      </w:pPr>
    </w:p>
    <w:p w14:paraId="659A28D3">
      <w:pPr>
        <w:pStyle w:val="2"/>
        <w:spacing w:line="242" w:lineRule="auto"/>
      </w:pPr>
    </w:p>
    <w:p w14:paraId="6BBDBEFF">
      <w:pPr>
        <w:pStyle w:val="2"/>
        <w:spacing w:line="243" w:lineRule="auto"/>
      </w:pPr>
    </w:p>
    <w:p w14:paraId="5E6B4639">
      <w:pPr>
        <w:pStyle w:val="2"/>
        <w:spacing w:line="243" w:lineRule="auto"/>
      </w:pPr>
    </w:p>
    <w:p w14:paraId="0B7C5FBF">
      <w:pPr>
        <w:pStyle w:val="2"/>
        <w:spacing w:line="243" w:lineRule="auto"/>
      </w:pPr>
    </w:p>
    <w:p w14:paraId="6950CEEA">
      <w:pPr>
        <w:pStyle w:val="2"/>
        <w:spacing w:line="243" w:lineRule="auto"/>
      </w:pPr>
    </w:p>
    <w:p w14:paraId="68278EA9">
      <w:pPr>
        <w:pStyle w:val="2"/>
        <w:spacing w:line="243" w:lineRule="auto"/>
      </w:pPr>
    </w:p>
    <w:p w14:paraId="12C16E73">
      <w:pPr>
        <w:pStyle w:val="2"/>
        <w:spacing w:line="243" w:lineRule="auto"/>
      </w:pPr>
    </w:p>
    <w:p w14:paraId="21934831">
      <w:pPr>
        <w:pStyle w:val="2"/>
        <w:spacing w:line="243" w:lineRule="auto"/>
      </w:pPr>
    </w:p>
    <w:p w14:paraId="6C3D7E74">
      <w:pPr>
        <w:pStyle w:val="2"/>
        <w:spacing w:line="243" w:lineRule="auto"/>
      </w:pPr>
    </w:p>
    <w:p w14:paraId="3CFAFEC6">
      <w:pPr>
        <w:pStyle w:val="2"/>
        <w:spacing w:line="243" w:lineRule="auto"/>
      </w:pPr>
    </w:p>
    <w:p w14:paraId="09C2CBB1">
      <w:pPr>
        <w:spacing w:before="101" w:line="224" w:lineRule="auto"/>
        <w:ind w:left="294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2024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 xml:space="preserve"> 9 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 xml:space="preserve">5 </w:t>
      </w:r>
      <w:r>
        <w:rPr>
          <w:rFonts w:ascii="仿宋" w:hAnsi="仿宋" w:eastAsia="仿宋" w:cs="仿宋"/>
          <w:spacing w:val="-6"/>
          <w:sz w:val="31"/>
          <w:szCs w:val="31"/>
        </w:rPr>
        <w:t>日</w:t>
      </w:r>
    </w:p>
    <w:p w14:paraId="0838712B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5BFEBB1">
      <w:pPr>
        <w:pStyle w:val="2"/>
        <w:spacing w:line="289" w:lineRule="auto"/>
      </w:pPr>
    </w:p>
    <w:p w14:paraId="5FF13ADC">
      <w:pPr>
        <w:pStyle w:val="2"/>
        <w:spacing w:line="290" w:lineRule="auto"/>
      </w:pPr>
    </w:p>
    <w:p w14:paraId="746E0B1E">
      <w:pPr>
        <w:spacing w:before="140" w:line="223" w:lineRule="auto"/>
        <w:ind w:left="3502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9"/>
          <w:sz w:val="43"/>
          <w:szCs w:val="43"/>
        </w:rPr>
        <w:t>目</w:t>
      </w:r>
      <w:r>
        <w:rPr>
          <w:rFonts w:ascii="仿宋" w:hAnsi="仿宋" w:eastAsia="仿宋" w:cs="仿宋"/>
          <w:spacing w:val="20"/>
          <w:sz w:val="43"/>
          <w:szCs w:val="43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</w:rPr>
        <w:t>录</w:t>
      </w:r>
    </w:p>
    <w:p w14:paraId="04F378C6">
      <w:pPr>
        <w:pStyle w:val="2"/>
        <w:spacing w:line="341" w:lineRule="auto"/>
      </w:pPr>
    </w:p>
    <w:p w14:paraId="274B235F">
      <w:pPr>
        <w:pStyle w:val="2"/>
        <w:spacing w:line="342" w:lineRule="auto"/>
      </w:pPr>
    </w:p>
    <w:p w14:paraId="37042146">
      <w:pPr>
        <w:spacing w:before="101" w:line="223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部门概况</w:t>
      </w:r>
    </w:p>
    <w:p w14:paraId="2C80AD89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一、部门职责</w:t>
      </w:r>
    </w:p>
    <w:p w14:paraId="3ED18BE6">
      <w:pPr>
        <w:spacing w:before="250" w:line="222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二、机构设置及部门决算单位构成</w:t>
      </w:r>
    </w:p>
    <w:p w14:paraId="4657BD07">
      <w:pPr>
        <w:spacing w:before="250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2023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年度部门决算表</w:t>
      </w:r>
    </w:p>
    <w:p w14:paraId="415E5F81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一、收入支出决算总表</w:t>
      </w:r>
    </w:p>
    <w:p w14:paraId="252F0CC6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 w14:paraId="6CEDDFFC">
      <w:pPr>
        <w:spacing w:before="249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0D7C3F8C">
      <w:pPr>
        <w:spacing w:before="250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78D11260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 w14:paraId="2A82EC9E">
      <w:pPr>
        <w:spacing w:before="250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 w14:paraId="0FA81B61"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七、政府性基金预算财政拨款收入支出决算表</w:t>
      </w:r>
    </w:p>
    <w:p w14:paraId="16B6C6FC">
      <w:pPr>
        <w:spacing w:before="252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国有资本经营预算财政拨款支出决算表</w:t>
      </w:r>
    </w:p>
    <w:p w14:paraId="22EC7048">
      <w:pPr>
        <w:spacing w:before="249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5791669B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十、部门预算项目支出绩效自评表</w:t>
      </w:r>
    </w:p>
    <w:p w14:paraId="60CAEF2E">
      <w:pPr>
        <w:spacing w:before="249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年度部门决算情况说明</w:t>
      </w:r>
    </w:p>
    <w:p w14:paraId="70EC49BC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一、收入支出决算总体情况说明</w:t>
      </w:r>
    </w:p>
    <w:p w14:paraId="584E919F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 w14:paraId="1A19687D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 w14:paraId="44A7A50E">
      <w:pPr>
        <w:spacing w:before="249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 w14:paraId="6F4BB289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EBD0E71">
      <w:pPr>
        <w:spacing w:before="15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 w14:paraId="474D364C">
      <w:pPr>
        <w:spacing w:before="249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 w14:paraId="0C38A94E">
      <w:pPr>
        <w:spacing w:before="250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七、政府性基金预算财政拨款收入支出决算情况说明</w:t>
      </w:r>
    </w:p>
    <w:p w14:paraId="504178AD">
      <w:pPr>
        <w:spacing w:before="251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国有资本经营预算财政拨款支出决算情况说明</w:t>
      </w:r>
    </w:p>
    <w:p w14:paraId="4A5D5616">
      <w:pPr>
        <w:spacing w:before="250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九、财政拨款“三公”经费支出决算情况说明</w:t>
      </w:r>
    </w:p>
    <w:p w14:paraId="6272E96C">
      <w:pPr>
        <w:spacing w:before="249" w:line="224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十、绩效评价情况说明</w:t>
      </w:r>
    </w:p>
    <w:p w14:paraId="1342AF8F">
      <w:pPr>
        <w:spacing w:before="248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十一、其他重要事项情况说明</w:t>
      </w:r>
    </w:p>
    <w:p w14:paraId="3228391D">
      <w:pPr>
        <w:spacing w:before="250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名词解释</w:t>
      </w:r>
    </w:p>
    <w:p w14:paraId="7B162339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0F06FE3A">
      <w:pPr>
        <w:pStyle w:val="2"/>
        <w:spacing w:line="328" w:lineRule="auto"/>
      </w:pPr>
    </w:p>
    <w:p w14:paraId="36C2F5CB">
      <w:pPr>
        <w:pStyle w:val="2"/>
        <w:spacing w:line="328" w:lineRule="auto"/>
      </w:pPr>
    </w:p>
    <w:p w14:paraId="0B1BF5DA">
      <w:pPr>
        <w:spacing w:before="189" w:line="443" w:lineRule="exact"/>
        <w:ind w:left="2215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第一部分</w:t>
      </w:r>
      <w:r>
        <w:rPr>
          <w:rFonts w:ascii="微软雅黑" w:hAnsi="微软雅黑" w:eastAsia="微软雅黑" w:cs="微软雅黑"/>
          <w:spacing w:val="1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部门概况</w:t>
      </w:r>
    </w:p>
    <w:p w14:paraId="5DDAC455">
      <w:pPr>
        <w:pStyle w:val="2"/>
        <w:spacing w:line="314" w:lineRule="auto"/>
      </w:pPr>
    </w:p>
    <w:p w14:paraId="69E1009A">
      <w:pPr>
        <w:pStyle w:val="2"/>
        <w:spacing w:line="314" w:lineRule="auto"/>
      </w:pPr>
    </w:p>
    <w:p w14:paraId="756EA20D">
      <w:pPr>
        <w:pStyle w:val="2"/>
        <w:spacing w:line="315" w:lineRule="auto"/>
      </w:pPr>
    </w:p>
    <w:p w14:paraId="24B997D9">
      <w:pPr>
        <w:spacing w:before="101" w:line="224" w:lineRule="auto"/>
        <w:ind w:left="7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一、部门主要职责</w:t>
      </w:r>
    </w:p>
    <w:p w14:paraId="20E59ECF">
      <w:pPr>
        <w:pStyle w:val="2"/>
        <w:spacing w:line="347" w:lineRule="auto"/>
      </w:pPr>
    </w:p>
    <w:p w14:paraId="63F7FDCE">
      <w:pPr>
        <w:spacing w:before="253" w:line="368" w:lineRule="auto"/>
        <w:ind w:left="23" w:firstLine="644"/>
        <w:rPr>
          <w:rFonts w:hint="eastAsia" w:ascii="仿宋" w:hAnsi="仿宋" w:eastAsia="仿宋" w:cs="仿宋"/>
          <w:spacing w:val="-9"/>
          <w:sz w:val="31"/>
          <w:szCs w:val="31"/>
        </w:rPr>
      </w:pPr>
      <w:r>
        <w:rPr>
          <w:rFonts w:hint="eastAsia" w:ascii="仿宋" w:hAnsi="仿宋" w:eastAsia="仿宋" w:cs="仿宋"/>
          <w:spacing w:val="-9"/>
          <w:sz w:val="31"/>
          <w:szCs w:val="31"/>
        </w:rPr>
        <w:t>(一)贯彻落实党和国家关于民族工作的方针、政策;协助市民委(宗教局)督促、指导开展民族政策法规及民族团结进步方针的贯彻实施。</w:t>
      </w:r>
    </w:p>
    <w:p w14:paraId="1C37B45D">
      <w:pPr>
        <w:spacing w:before="253" w:line="368" w:lineRule="auto"/>
        <w:ind w:left="23" w:firstLine="644"/>
        <w:rPr>
          <w:rFonts w:hint="eastAsia" w:ascii="仿宋" w:hAnsi="仿宋" w:eastAsia="仿宋" w:cs="仿宋"/>
          <w:spacing w:val="-9"/>
          <w:sz w:val="31"/>
          <w:szCs w:val="31"/>
        </w:rPr>
      </w:pPr>
      <w:r>
        <w:rPr>
          <w:rFonts w:hint="eastAsia" w:ascii="仿宋" w:hAnsi="仿宋" w:eastAsia="仿宋" w:cs="仿宋"/>
          <w:spacing w:val="-9"/>
          <w:sz w:val="31"/>
          <w:szCs w:val="31"/>
        </w:rPr>
        <w:t>(二)贯彻落实党和国家关于宗教工作的方针、政策;指导监督有关宗教政策法规的贯彻实施;调查研究全区宗教状况、掌握动态、研究宗教理论问题、提出政策性的建议和意见;协助宗教团体搞好自身建设,团结和教育宗教界上层人士。</w:t>
      </w:r>
    </w:p>
    <w:p w14:paraId="2B16BD09">
      <w:pPr>
        <w:spacing w:before="253" w:line="368" w:lineRule="auto"/>
        <w:ind w:left="23" w:firstLine="644"/>
        <w:rPr>
          <w:rFonts w:hint="eastAsia" w:ascii="仿宋" w:hAnsi="仿宋" w:eastAsia="仿宋" w:cs="仿宋"/>
          <w:spacing w:val="-9"/>
          <w:sz w:val="31"/>
          <w:szCs w:val="31"/>
        </w:rPr>
      </w:pPr>
      <w:r>
        <w:rPr>
          <w:rFonts w:hint="eastAsia" w:ascii="仿宋" w:hAnsi="仿宋" w:eastAsia="仿宋" w:cs="仿宋"/>
          <w:spacing w:val="-9"/>
          <w:sz w:val="31"/>
          <w:szCs w:val="31"/>
        </w:rPr>
        <w:t>(三)负责全区民族宗教方面的行政管理工作;掌握全区有关少数民族的政治、经济、文化、教育等方面情况;协同有关部门审批和管理清真饮食企业;完成市民委(宗教局)交办的相关事宜;负责对宗教场所的审核呈报及安全工作,依照有关法律法规的规定履行安全生产监督管理职责;配合有关部门处理宗教方面的非法活动;负责宗教工作方面的情况综合及信息等项工作。</w:t>
      </w:r>
    </w:p>
    <w:p w14:paraId="29DE2888">
      <w:pPr>
        <w:spacing w:before="253" w:line="368" w:lineRule="auto"/>
        <w:ind w:left="23" w:firstLine="644"/>
        <w:rPr>
          <w:rFonts w:ascii="仿宋" w:hAnsi="仿宋" w:eastAsia="仿宋" w:cs="仿宋"/>
          <w:spacing w:val="-9"/>
          <w:sz w:val="31"/>
          <w:szCs w:val="31"/>
        </w:rPr>
      </w:pPr>
      <w:r>
        <w:rPr>
          <w:rFonts w:hint="eastAsia" w:ascii="仿宋" w:hAnsi="仿宋" w:eastAsia="仿宋" w:cs="仿宋"/>
          <w:spacing w:val="-9"/>
          <w:sz w:val="31"/>
          <w:szCs w:val="31"/>
        </w:rPr>
        <w:t>(四)完成区委、区政府交办的其他任务机构设置及部门决算单位构成</w:t>
      </w:r>
      <w:r>
        <w:rPr>
          <w:rFonts w:ascii="仿宋" w:hAnsi="仿宋" w:eastAsia="仿宋" w:cs="仿宋"/>
          <w:spacing w:val="-9"/>
          <w:sz w:val="31"/>
          <w:szCs w:val="31"/>
        </w:rPr>
        <w:t>述）</w:t>
      </w:r>
    </w:p>
    <w:p w14:paraId="42A140B3">
      <w:pPr>
        <w:spacing w:before="25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二、机构设置及部门决算单位构成</w:t>
      </w:r>
    </w:p>
    <w:p w14:paraId="2D4AF19C">
      <w:pPr>
        <w:spacing w:before="253" w:line="368" w:lineRule="auto"/>
        <w:ind w:left="23" w:firstLine="644"/>
        <w:rPr>
          <w:rFonts w:hint="eastAsia" w:ascii="仿宋" w:hAnsi="仿宋" w:eastAsia="仿宋" w:cs="仿宋"/>
          <w:spacing w:val="-9"/>
          <w:sz w:val="31"/>
          <w:szCs w:val="31"/>
        </w:rPr>
      </w:pPr>
    </w:p>
    <w:p w14:paraId="6CC62476">
      <w:pPr>
        <w:spacing w:before="253" w:line="368" w:lineRule="auto"/>
        <w:ind w:left="23" w:firstLine="644"/>
        <w:rPr>
          <w:rFonts w:hint="eastAsia" w:ascii="仿宋" w:hAnsi="仿宋" w:eastAsia="仿宋" w:cs="仿宋"/>
          <w:spacing w:val="-9"/>
          <w:sz w:val="31"/>
          <w:szCs w:val="31"/>
        </w:rPr>
      </w:pPr>
      <w:r>
        <w:rPr>
          <w:rFonts w:hint="eastAsia" w:ascii="仿宋" w:hAnsi="仿宋" w:eastAsia="仿宋" w:cs="仿宋"/>
          <w:spacing w:val="-9"/>
          <w:sz w:val="31"/>
          <w:szCs w:val="31"/>
        </w:rPr>
        <w:t>根据上述职责，长春市南关区民族宗教事务局内设1个机构，为宗教科。</w:t>
      </w:r>
    </w:p>
    <w:p w14:paraId="0DE5B3FD">
      <w:pPr>
        <w:spacing w:before="253" w:line="368" w:lineRule="auto"/>
        <w:ind w:left="23" w:firstLine="644"/>
        <w:rPr>
          <w:rFonts w:hint="eastAsia" w:ascii="仿宋" w:hAnsi="仿宋" w:eastAsia="仿宋" w:cs="仿宋"/>
          <w:spacing w:val="-9"/>
          <w:sz w:val="31"/>
          <w:szCs w:val="31"/>
        </w:rPr>
      </w:pPr>
      <w:r>
        <w:rPr>
          <w:rFonts w:hint="eastAsia" w:ascii="仿宋" w:hAnsi="仿宋" w:eastAsia="仿宋" w:cs="仿宋"/>
          <w:spacing w:val="-9"/>
          <w:sz w:val="31"/>
          <w:szCs w:val="31"/>
        </w:rPr>
        <w:t>纳入长春市南关区民族宗教事务局202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3</w:t>
      </w:r>
      <w:r>
        <w:rPr>
          <w:rFonts w:hint="eastAsia" w:ascii="仿宋" w:hAnsi="仿宋" w:eastAsia="仿宋" w:cs="仿宋"/>
          <w:spacing w:val="-9"/>
          <w:sz w:val="31"/>
          <w:szCs w:val="31"/>
        </w:rPr>
        <w:t>年度部门决算编制范围的单位包括：长春市南关区民族宗教事务局（本级）</w:t>
      </w:r>
    </w:p>
    <w:p w14:paraId="2A4F3ED3">
      <w:pPr>
        <w:spacing w:before="51" w:line="355" w:lineRule="auto"/>
        <w:ind w:left="30" w:right="16" w:firstLine="1279"/>
        <w:rPr>
          <w:rFonts w:ascii="仿宋" w:hAnsi="仿宋" w:eastAsia="仿宋" w:cs="仿宋"/>
          <w:sz w:val="31"/>
          <w:szCs w:val="31"/>
        </w:rPr>
      </w:pPr>
    </w:p>
    <w:p w14:paraId="3168809B">
      <w:pPr>
        <w:spacing w:line="355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1D4F350C">
      <w:pPr>
        <w:pStyle w:val="2"/>
        <w:spacing w:line="328" w:lineRule="auto"/>
      </w:pPr>
    </w:p>
    <w:p w14:paraId="00F75314">
      <w:pPr>
        <w:pStyle w:val="2"/>
        <w:spacing w:line="328" w:lineRule="auto"/>
      </w:pPr>
    </w:p>
    <w:p w14:paraId="5F232189">
      <w:pPr>
        <w:spacing w:before="189" w:line="186" w:lineRule="auto"/>
        <w:ind w:left="114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z w:val="44"/>
          <w:szCs w:val="44"/>
        </w:rPr>
        <w:t>第二部分</w:t>
      </w:r>
      <w:r>
        <w:rPr>
          <w:rFonts w:ascii="微软雅黑" w:hAnsi="微软雅黑" w:eastAsia="微软雅黑" w:cs="微软雅黑"/>
          <w:spacing w:val="111"/>
          <w:sz w:val="44"/>
          <w:szCs w:val="44"/>
        </w:rPr>
        <w:t xml:space="preserve"> </w:t>
      </w:r>
      <w:r>
        <w:rPr>
          <w:rFonts w:ascii="宋体" w:hAnsi="宋体" w:eastAsia="宋体" w:cs="宋体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年度部门决算表</w:t>
      </w:r>
    </w:p>
    <w:p w14:paraId="6304AC57">
      <w:pPr>
        <w:pStyle w:val="2"/>
        <w:spacing w:line="268" w:lineRule="auto"/>
      </w:pPr>
    </w:p>
    <w:p w14:paraId="6A40548F">
      <w:pPr>
        <w:pStyle w:val="2"/>
        <w:spacing w:line="268" w:lineRule="auto"/>
      </w:pPr>
    </w:p>
    <w:p w14:paraId="19137335">
      <w:pPr>
        <w:pStyle w:val="2"/>
        <w:spacing w:line="268" w:lineRule="auto"/>
      </w:pPr>
    </w:p>
    <w:p w14:paraId="19B2CBCA">
      <w:pPr>
        <w:numPr>
          <w:ilvl w:val="0"/>
          <w:numId w:val="1"/>
        </w:numPr>
        <w:spacing w:before="100" w:line="224" w:lineRule="auto"/>
        <w:ind w:left="672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收入支出决算总表</w:t>
      </w:r>
    </w:p>
    <w:p w14:paraId="0ED3C7DC">
      <w:pPr>
        <w:numPr>
          <w:ilvl w:val="0"/>
          <w:numId w:val="0"/>
        </w:numPr>
        <w:spacing w:before="100" w:line="224" w:lineRule="auto"/>
        <w:rPr>
          <w:rFonts w:ascii="黑体" w:hAnsi="黑体" w:eastAsia="黑体" w:cs="黑体"/>
          <w:spacing w:val="7"/>
          <w:sz w:val="31"/>
          <w:szCs w:val="31"/>
        </w:rPr>
      </w:pPr>
    </w:p>
    <w:p w14:paraId="74104857">
      <w:pPr>
        <w:spacing w:line="46" w:lineRule="auto"/>
        <w:rPr>
          <w:rFonts w:ascii="Arial"/>
          <w:sz w:val="2"/>
        </w:rPr>
      </w:pPr>
    </w:p>
    <w:p w14:paraId="6CF2BD69">
      <w:pPr>
        <w:pStyle w:val="2"/>
        <w:spacing w:line="337" w:lineRule="auto"/>
      </w:pPr>
      <w:r>
        <w:drawing>
          <wp:inline distT="0" distB="0" distL="114300" distR="114300">
            <wp:extent cx="5290820" cy="5928360"/>
            <wp:effectExtent l="0" t="0" r="5080" b="1524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592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41545">
      <w:pPr>
        <w:pStyle w:val="2"/>
        <w:spacing w:line="338" w:lineRule="auto"/>
      </w:pPr>
    </w:p>
    <w:p w14:paraId="6EC6C718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7" w:h="16839"/>
          <w:pgMar w:top="1431" w:right="1785" w:bottom="1150" w:left="1785" w:header="0" w:footer="965" w:gutter="0"/>
          <w:cols w:space="720" w:num="1"/>
        </w:sectPr>
      </w:pPr>
    </w:p>
    <w:p w14:paraId="1871BE4D">
      <w:pPr>
        <w:pStyle w:val="2"/>
        <w:spacing w:line="339" w:lineRule="auto"/>
      </w:pPr>
    </w:p>
    <w:p w14:paraId="640B7097">
      <w:pPr>
        <w:pStyle w:val="2"/>
        <w:spacing w:line="340" w:lineRule="auto"/>
      </w:pPr>
    </w:p>
    <w:p w14:paraId="29390AD1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二、收入决算表</w:t>
      </w:r>
    </w:p>
    <w:p w14:paraId="3BEE0612">
      <w:pPr>
        <w:spacing w:before="101" w:line="356" w:lineRule="auto"/>
        <w:ind w:right="10" w:firstLine="420" w:firstLineChars="200"/>
      </w:pPr>
    </w:p>
    <w:p w14:paraId="76341B71">
      <w:pPr>
        <w:spacing w:before="101" w:line="356" w:lineRule="auto"/>
        <w:ind w:right="10"/>
        <w:rPr>
          <w:rFonts w:ascii="仿宋" w:hAnsi="仿宋" w:eastAsia="仿宋" w:cs="仿宋"/>
          <w:color w:val="FF0000"/>
          <w:spacing w:val="8"/>
          <w:sz w:val="31"/>
          <w:szCs w:val="31"/>
        </w:rPr>
      </w:pPr>
      <w:r>
        <w:drawing>
          <wp:inline distT="0" distB="0" distL="114300" distR="114300">
            <wp:extent cx="5289550" cy="2835275"/>
            <wp:effectExtent l="0" t="0" r="6350" b="3175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283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EA4C3">
      <w:pPr>
        <w:pStyle w:val="2"/>
        <w:spacing w:line="340" w:lineRule="auto"/>
      </w:pPr>
    </w:p>
    <w:p w14:paraId="26A8D9DF">
      <w:pPr>
        <w:numPr>
          <w:ilvl w:val="0"/>
          <w:numId w:val="2"/>
        </w:numPr>
        <w:spacing w:before="101" w:line="224" w:lineRule="auto"/>
        <w:ind w:left="674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支出决算表</w:t>
      </w:r>
    </w:p>
    <w:p w14:paraId="2B05E0A0">
      <w:pPr>
        <w:numPr>
          <w:ilvl w:val="0"/>
          <w:numId w:val="0"/>
        </w:numPr>
        <w:spacing w:before="101" w:line="224" w:lineRule="auto"/>
        <w:rPr>
          <w:rFonts w:ascii="黑体" w:hAnsi="黑体" w:eastAsia="黑体" w:cs="黑体"/>
          <w:spacing w:val="7"/>
          <w:sz w:val="31"/>
          <w:szCs w:val="31"/>
        </w:rPr>
      </w:pPr>
    </w:p>
    <w:p w14:paraId="36036CFF">
      <w:pPr>
        <w:spacing w:line="356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drawing>
          <wp:inline distT="0" distB="0" distL="114300" distR="114300">
            <wp:extent cx="5288280" cy="3203575"/>
            <wp:effectExtent l="0" t="0" r="7620" b="15875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320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384FE">
      <w:pPr>
        <w:numPr>
          <w:ilvl w:val="0"/>
          <w:numId w:val="2"/>
        </w:numPr>
        <w:spacing w:before="101" w:line="224" w:lineRule="auto"/>
        <w:ind w:left="674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财政拨款收入支出决算总表</w:t>
      </w:r>
    </w:p>
    <w:p w14:paraId="437FAAA0">
      <w:pPr>
        <w:pStyle w:val="2"/>
        <w:spacing w:line="245" w:lineRule="auto"/>
      </w:pPr>
    </w:p>
    <w:p w14:paraId="72316DBE">
      <w:pPr>
        <w:spacing w:before="100" w:line="224" w:lineRule="auto"/>
        <w:rPr>
          <w:rFonts w:hint="eastAsia" w:ascii="仿宋" w:hAnsi="仿宋" w:eastAsia="仿宋" w:cs="仿宋"/>
          <w:color w:val="FF0000"/>
          <w:spacing w:val="4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color w:val="FF0000"/>
          <w:spacing w:val="4"/>
          <w:sz w:val="31"/>
          <w:szCs w:val="31"/>
          <w:lang w:eastAsia="zh-CN"/>
        </w:rPr>
        <w:drawing>
          <wp:inline distT="0" distB="0" distL="114300" distR="114300">
            <wp:extent cx="5288915" cy="4250690"/>
            <wp:effectExtent l="0" t="0" r="6985" b="16510"/>
            <wp:docPr id="2" name="图片 2" descr="1725430681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543068169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88915" cy="425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A14BE">
      <w:pPr>
        <w:pStyle w:val="2"/>
        <w:spacing w:line="339" w:lineRule="auto"/>
      </w:pPr>
    </w:p>
    <w:p w14:paraId="5762BA49">
      <w:pPr>
        <w:pStyle w:val="2"/>
        <w:spacing w:line="339" w:lineRule="auto"/>
      </w:pPr>
    </w:p>
    <w:p w14:paraId="679F1FF6">
      <w:pPr>
        <w:numPr>
          <w:ilvl w:val="0"/>
          <w:numId w:val="2"/>
        </w:numPr>
        <w:spacing w:before="100" w:line="224" w:lineRule="auto"/>
        <w:ind w:left="674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一般公共预算财政拨款支出决算表</w:t>
      </w:r>
    </w:p>
    <w:p w14:paraId="6409C526">
      <w:pPr>
        <w:numPr>
          <w:ilvl w:val="0"/>
          <w:numId w:val="0"/>
        </w:numPr>
        <w:spacing w:before="100" w:line="224" w:lineRule="auto"/>
        <w:ind w:left="674" w:leftChars="0"/>
        <w:rPr>
          <w:rFonts w:ascii="黑体" w:hAnsi="黑体" w:eastAsia="黑体" w:cs="黑体"/>
          <w:spacing w:val="8"/>
          <w:sz w:val="31"/>
          <w:szCs w:val="31"/>
        </w:rPr>
      </w:pPr>
    </w:p>
    <w:p w14:paraId="10CB047C">
      <w:pPr>
        <w:numPr>
          <w:ilvl w:val="0"/>
          <w:numId w:val="0"/>
        </w:numPr>
        <w:spacing w:before="100" w:line="224" w:lineRule="auto"/>
      </w:pPr>
      <w:r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  <w:drawing>
          <wp:inline distT="0" distB="0" distL="114300" distR="114300">
            <wp:extent cx="5292725" cy="3145790"/>
            <wp:effectExtent l="0" t="0" r="3175" b="16510"/>
            <wp:docPr id="3" name="图片 3" descr="1725431307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543130724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2725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ED29C">
      <w:pPr>
        <w:numPr>
          <w:ilvl w:val="0"/>
          <w:numId w:val="2"/>
        </w:numPr>
        <w:spacing w:before="100" w:line="224" w:lineRule="auto"/>
        <w:ind w:left="674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一般公共预算财政拨款基本支出决算明细表</w:t>
      </w:r>
    </w:p>
    <w:p w14:paraId="7EA80370">
      <w:pPr>
        <w:numPr>
          <w:ilvl w:val="0"/>
          <w:numId w:val="0"/>
        </w:numPr>
        <w:spacing w:before="100" w:line="224" w:lineRule="auto"/>
        <w:ind w:left="674" w:leftChars="0"/>
        <w:rPr>
          <w:rFonts w:ascii="黑体" w:hAnsi="黑体" w:eastAsia="黑体" w:cs="黑体"/>
          <w:spacing w:val="8"/>
          <w:sz w:val="31"/>
          <w:szCs w:val="31"/>
        </w:rPr>
      </w:pPr>
    </w:p>
    <w:p w14:paraId="7F276386">
      <w:pPr>
        <w:spacing w:before="42" w:line="219" w:lineRule="auto"/>
        <w:ind w:left="1575"/>
        <w:rPr>
          <w:rFonts w:ascii="宋体" w:hAnsi="宋体" w:eastAsia="宋体" w:cs="宋体"/>
          <w:spacing w:val="-10"/>
          <w:sz w:val="24"/>
          <w:szCs w:val="24"/>
        </w:rPr>
      </w:pPr>
    </w:p>
    <w:p w14:paraId="6E0A7FB7">
      <w:pPr>
        <w:spacing w:before="37" w:line="219" w:lineRule="auto"/>
        <w:ind w:left="4"/>
      </w:pPr>
      <w:r>
        <w:drawing>
          <wp:inline distT="0" distB="0" distL="114300" distR="114300">
            <wp:extent cx="5288280" cy="4066540"/>
            <wp:effectExtent l="0" t="0" r="7620" b="1016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88280" cy="406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49F66">
      <w:pPr>
        <w:pStyle w:val="2"/>
        <w:spacing w:line="340" w:lineRule="auto"/>
      </w:pPr>
    </w:p>
    <w:p w14:paraId="136DFF5D">
      <w:pPr>
        <w:spacing w:before="101" w:line="224" w:lineRule="auto"/>
        <w:ind w:left="6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七、政府性基金预算财政拨款收入支出决算表</w:t>
      </w:r>
    </w:p>
    <w:p w14:paraId="3FE4D30D">
      <w:pPr>
        <w:spacing w:before="83" w:line="219" w:lineRule="auto"/>
        <w:ind w:left="1560"/>
        <w:outlineLvl w:val="0"/>
        <w:rPr>
          <w:rFonts w:ascii="宋体" w:hAnsi="宋体" w:eastAsia="宋体" w:cs="宋体"/>
          <w:spacing w:val="-11"/>
          <w:w w:val="99"/>
          <w:sz w:val="28"/>
          <w:szCs w:val="28"/>
        </w:rPr>
      </w:pPr>
    </w:p>
    <w:p w14:paraId="7B8288B2">
      <w:pPr>
        <w:spacing w:before="83" w:line="219" w:lineRule="auto"/>
        <w:ind w:left="1560"/>
        <w:outlineLvl w:val="0"/>
        <w:rPr>
          <w:rFonts w:ascii="宋体" w:hAnsi="宋体" w:eastAsia="宋体" w:cs="宋体"/>
          <w:spacing w:val="-11"/>
          <w:w w:val="99"/>
          <w:sz w:val="28"/>
          <w:szCs w:val="28"/>
        </w:rPr>
      </w:pPr>
    </w:p>
    <w:p w14:paraId="2B386157">
      <w:pPr>
        <w:spacing w:before="101" w:line="364" w:lineRule="auto"/>
        <w:ind w:right="14"/>
        <w:rPr>
          <w:rFonts w:ascii="仿宋" w:hAnsi="仿宋" w:eastAsia="仿宋" w:cs="仿宋"/>
          <w:color w:val="FF0000"/>
          <w:spacing w:val="8"/>
          <w:sz w:val="31"/>
          <w:szCs w:val="31"/>
        </w:rPr>
      </w:pPr>
      <w:r>
        <w:drawing>
          <wp:inline distT="0" distB="0" distL="114300" distR="114300">
            <wp:extent cx="5290820" cy="2598420"/>
            <wp:effectExtent l="0" t="0" r="508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A4E2D">
      <w:pPr>
        <w:spacing w:line="364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3700F55E">
      <w:pPr>
        <w:spacing w:before="101" w:line="224" w:lineRule="auto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八、国有资本经营预算财政拨款支出决算表</w:t>
      </w:r>
    </w:p>
    <w:p w14:paraId="2CDA66CF">
      <w:pPr>
        <w:spacing w:before="114" w:line="219" w:lineRule="auto"/>
        <w:jc w:val="center"/>
        <w:outlineLvl w:val="0"/>
        <w:rPr>
          <w:rFonts w:ascii="宋体" w:hAnsi="宋体" w:eastAsia="宋体" w:cs="宋体"/>
          <w:spacing w:val="-12"/>
          <w:sz w:val="28"/>
          <w:szCs w:val="28"/>
        </w:rPr>
      </w:pPr>
    </w:p>
    <w:p w14:paraId="487A090F">
      <w:pPr>
        <w:pStyle w:val="2"/>
        <w:spacing w:line="253" w:lineRule="auto"/>
      </w:pPr>
      <w:r>
        <w:drawing>
          <wp:inline distT="0" distB="0" distL="114300" distR="114300">
            <wp:extent cx="5290185" cy="3659505"/>
            <wp:effectExtent l="0" t="0" r="5715" b="1714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365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A8D76">
      <w:pPr>
        <w:pStyle w:val="2"/>
        <w:spacing w:line="253" w:lineRule="auto"/>
      </w:pPr>
    </w:p>
    <w:p w14:paraId="7086360C">
      <w:pPr>
        <w:pStyle w:val="2"/>
        <w:spacing w:line="340" w:lineRule="auto"/>
      </w:pPr>
    </w:p>
    <w:p w14:paraId="4E56FB65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九、财政拨款“三公”经费支出决算表</w:t>
      </w:r>
    </w:p>
    <w:p w14:paraId="39B871EF">
      <w:pPr>
        <w:spacing w:before="154" w:line="362" w:lineRule="auto"/>
        <w:ind w:left="32" w:right="12" w:firstLine="643"/>
        <w:jc w:val="both"/>
        <w:rPr>
          <w:rFonts w:ascii="仿宋" w:hAnsi="仿宋" w:eastAsia="仿宋" w:cs="仿宋"/>
          <w:color w:val="FF0000"/>
          <w:spacing w:val="8"/>
          <w:sz w:val="31"/>
          <w:szCs w:val="3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288290</wp:posOffset>
            </wp:positionV>
            <wp:extent cx="5292090" cy="3034665"/>
            <wp:effectExtent l="0" t="0" r="3810" b="13335"/>
            <wp:wrapSquare wrapText="bothSides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303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3F4728">
      <w:pPr>
        <w:pStyle w:val="2"/>
        <w:spacing w:line="339" w:lineRule="auto"/>
      </w:pPr>
    </w:p>
    <w:p w14:paraId="688D79BF">
      <w:pPr>
        <w:pStyle w:val="2"/>
        <w:spacing w:line="339" w:lineRule="auto"/>
      </w:pPr>
    </w:p>
    <w:p w14:paraId="17CFE07B">
      <w:pPr>
        <w:numPr>
          <w:ilvl w:val="0"/>
          <w:numId w:val="3"/>
        </w:numPr>
        <w:spacing w:before="101" w:line="224" w:lineRule="auto"/>
        <w:ind w:left="675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部门预算项目支出绩效自评表</w:t>
      </w:r>
    </w:p>
    <w:p w14:paraId="585863EC">
      <w:pPr>
        <w:pStyle w:val="2"/>
        <w:spacing w:line="261" w:lineRule="auto"/>
      </w:pPr>
      <w:r>
        <w:drawing>
          <wp:inline distT="0" distB="0" distL="114300" distR="114300">
            <wp:extent cx="5286375" cy="3534410"/>
            <wp:effectExtent l="0" t="0" r="0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27"/>
                    <a:srcRect b="7725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48098">
      <w:pPr>
        <w:pStyle w:val="2"/>
        <w:spacing w:line="261" w:lineRule="auto"/>
      </w:pPr>
    </w:p>
    <w:p w14:paraId="7CCBBBB1">
      <w:pPr>
        <w:pStyle w:val="2"/>
        <w:spacing w:line="261" w:lineRule="auto"/>
      </w:pPr>
      <w:r>
        <w:drawing>
          <wp:inline distT="0" distB="0" distL="114300" distR="114300">
            <wp:extent cx="5290185" cy="3627120"/>
            <wp:effectExtent l="0" t="0" r="0" b="0"/>
            <wp:docPr id="1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/>
                    <pic:cNvPicPr>
                      <a:picLocks noChangeAspect="1"/>
                    </pic:cNvPicPr>
                  </pic:nvPicPr>
                  <pic:blipFill>
                    <a:blip r:embed="rId28"/>
                    <a:srcRect b="5493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362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2A100">
      <w:pPr>
        <w:pStyle w:val="2"/>
        <w:spacing w:line="261" w:lineRule="auto"/>
      </w:pPr>
    </w:p>
    <w:p w14:paraId="13F581B8">
      <w:pPr>
        <w:spacing w:line="37" w:lineRule="auto"/>
        <w:rPr>
          <w:rFonts w:ascii="Arial"/>
          <w:sz w:val="2"/>
        </w:rPr>
      </w:pPr>
    </w:p>
    <w:p w14:paraId="24C94F04">
      <w:pPr>
        <w:spacing w:line="9847" w:lineRule="exact"/>
        <w:sectPr>
          <w:footerReference r:id="rId12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5D7A5481">
      <w:pPr>
        <w:spacing w:before="225" w:line="443" w:lineRule="exact"/>
        <w:ind w:left="48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2023年度部门决算情况说明</w:t>
      </w:r>
    </w:p>
    <w:p w14:paraId="6B93E21B">
      <w:pPr>
        <w:pStyle w:val="2"/>
        <w:spacing w:line="314" w:lineRule="auto"/>
      </w:pPr>
    </w:p>
    <w:p w14:paraId="6027ABBB">
      <w:pPr>
        <w:pStyle w:val="2"/>
        <w:spacing w:line="314" w:lineRule="auto"/>
      </w:pPr>
    </w:p>
    <w:p w14:paraId="03D050B4">
      <w:pPr>
        <w:pStyle w:val="2"/>
        <w:spacing w:line="315" w:lineRule="auto"/>
      </w:pPr>
    </w:p>
    <w:p w14:paraId="55FF611C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24190F27">
      <w:pPr>
        <w:spacing w:before="248" w:line="362" w:lineRule="auto"/>
        <w:ind w:left="36" w:right="113" w:firstLine="634"/>
        <w:rPr>
          <w:rFonts w:hint="default" w:ascii="仿宋" w:hAnsi="仿宋" w:eastAsia="仿宋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年度收、支总计均为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347.72</w:t>
      </w:r>
      <w:r>
        <w:rPr>
          <w:rFonts w:ascii="仿宋" w:hAnsi="仿宋" w:eastAsia="仿宋" w:cs="仿宋"/>
          <w:spacing w:val="4"/>
          <w:sz w:val="31"/>
          <w:szCs w:val="31"/>
        </w:rPr>
        <w:t>万元。与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4"/>
          <w:sz w:val="31"/>
          <w:szCs w:val="31"/>
        </w:rPr>
        <w:t>年度相比，收、支总计各增加</w:t>
      </w:r>
      <w:r>
        <w:rPr>
          <w:rFonts w:hint="eastAsia" w:ascii="仿宋" w:hAnsi="仿宋" w:eastAsia="仿宋" w:cs="仿宋"/>
          <w:spacing w:val="4"/>
          <w:sz w:val="31"/>
          <w:szCs w:val="31"/>
        </w:rPr>
        <w:t>132.1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</w:rPr>
        <w:t>61.27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。主</w:t>
      </w:r>
      <w:r>
        <w:rPr>
          <w:rFonts w:ascii="仿宋" w:hAnsi="仿宋" w:eastAsia="仿宋" w:cs="仿宋"/>
          <w:spacing w:val="-10"/>
          <w:sz w:val="31"/>
          <w:szCs w:val="31"/>
        </w:rPr>
        <w:t>要原因：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人员经费增加、退休人员补贴增加。</w:t>
      </w:r>
    </w:p>
    <w:p w14:paraId="58996AC1">
      <w:pPr>
        <w:spacing w:before="5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1C677848">
      <w:pPr>
        <w:spacing w:before="251" w:line="368" w:lineRule="auto"/>
        <w:ind w:left="330" w:leftChars="157" w:firstLine="658" w:firstLineChars="207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</w:rPr>
        <w:t>347.64</w:t>
      </w:r>
      <w:r>
        <w:rPr>
          <w:rFonts w:ascii="仿宋" w:hAnsi="仿宋" w:eastAsia="仿宋" w:cs="仿宋"/>
          <w:spacing w:val="4"/>
          <w:sz w:val="31"/>
          <w:szCs w:val="31"/>
        </w:rPr>
        <w:t>万元，其中：财政拨款收入</w:t>
      </w:r>
      <w:r>
        <w:rPr>
          <w:rFonts w:hint="eastAsia" w:ascii="仿宋" w:hAnsi="仿宋" w:eastAsia="仿宋" w:cs="仿宋"/>
          <w:spacing w:val="4"/>
          <w:sz w:val="31"/>
          <w:szCs w:val="31"/>
        </w:rPr>
        <w:t>347.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52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</w:rPr>
        <w:t>132.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05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</w:rPr>
        <w:t>61.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28</w:t>
      </w:r>
      <w:r>
        <w:rPr>
          <w:rFonts w:ascii="仿宋" w:hAnsi="仿宋" w:eastAsia="仿宋" w:cs="仿宋"/>
          <w:spacing w:val="4"/>
          <w:sz w:val="31"/>
          <w:szCs w:val="31"/>
        </w:rPr>
        <w:t>%，主要是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人员经费增加、退休人员补贴增加、民族宗教场所建设增加</w:t>
      </w:r>
      <w:r>
        <w:rPr>
          <w:rFonts w:ascii="仿宋" w:hAnsi="仿宋" w:eastAsia="仿宋" w:cs="仿宋"/>
          <w:spacing w:val="4"/>
          <w:sz w:val="31"/>
          <w:szCs w:val="31"/>
        </w:rPr>
        <w:t>；上级补助收入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%；事业收入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%；经营收入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%；附属单位上缴收入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%；其他收入</w:t>
      </w:r>
      <w:r>
        <w:rPr>
          <w:rFonts w:hint="eastAsia" w:ascii="仿宋" w:hAnsi="仿宋" w:eastAsia="仿宋" w:cs="仿宋"/>
          <w:spacing w:val="4"/>
          <w:sz w:val="31"/>
          <w:szCs w:val="31"/>
        </w:rPr>
        <w:t>0.12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万元，比上年减少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0.02</w:t>
      </w:r>
      <w:r>
        <w:rPr>
          <w:rFonts w:ascii="仿宋" w:hAnsi="仿宋" w:eastAsia="仿宋" w:cs="仿宋"/>
          <w:spacing w:val="4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14.29</w:t>
      </w:r>
      <w:r>
        <w:rPr>
          <w:rFonts w:ascii="仿宋" w:hAnsi="仿宋" w:eastAsia="仿宋" w:cs="仿宋"/>
          <w:spacing w:val="4"/>
          <w:sz w:val="31"/>
          <w:szCs w:val="31"/>
        </w:rPr>
        <w:t>%，主要是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利息减少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60AEFD03">
      <w:pPr>
        <w:spacing w:before="158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58E8488B">
      <w:pPr>
        <w:spacing w:before="251" w:line="368" w:lineRule="auto"/>
        <w:ind w:left="330" w:leftChars="157" w:firstLine="658" w:firstLineChars="207"/>
      </w:pPr>
      <w:r>
        <w:rPr>
          <w:rFonts w:ascii="仿宋" w:hAnsi="仿宋" w:eastAsia="仿宋" w:cs="仿宋"/>
          <w:spacing w:val="4"/>
          <w:sz w:val="31"/>
          <w:szCs w:val="31"/>
        </w:rPr>
        <w:t>本年支出合计</w:t>
      </w:r>
      <w:r>
        <w:rPr>
          <w:rFonts w:hint="eastAsia" w:ascii="仿宋" w:hAnsi="仿宋" w:eastAsia="仿宋" w:cs="仿宋"/>
          <w:spacing w:val="4"/>
          <w:sz w:val="31"/>
          <w:szCs w:val="31"/>
        </w:rPr>
        <w:t>347.70</w:t>
      </w:r>
      <w:r>
        <w:rPr>
          <w:rFonts w:ascii="仿宋" w:hAnsi="仿宋" w:eastAsia="仿宋" w:cs="仿宋"/>
          <w:spacing w:val="4"/>
          <w:sz w:val="31"/>
          <w:szCs w:val="31"/>
        </w:rPr>
        <w:t>万元，其中：基本支出</w:t>
      </w:r>
      <w:r>
        <w:rPr>
          <w:rFonts w:hint="eastAsia" w:ascii="仿宋" w:hAnsi="仿宋" w:eastAsia="仿宋" w:cs="仿宋"/>
          <w:spacing w:val="24"/>
          <w:sz w:val="31"/>
          <w:szCs w:val="31"/>
        </w:rPr>
        <w:t>292.46</w:t>
      </w:r>
      <w:r>
        <w:rPr>
          <w:rFonts w:ascii="仿宋" w:hAnsi="仿宋" w:eastAsia="仿宋" w:cs="仿宋"/>
          <w:spacing w:val="4"/>
          <w:sz w:val="31"/>
          <w:szCs w:val="31"/>
        </w:rPr>
        <w:t>万元，比上年</w:t>
      </w:r>
      <w:r>
        <w:rPr>
          <w:rFonts w:ascii="仿宋" w:hAnsi="仿宋" w:eastAsia="仿宋" w:cs="仿宋"/>
          <w:spacing w:val="7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7"/>
          <w:sz w:val="31"/>
          <w:szCs w:val="31"/>
        </w:rPr>
        <w:t>99.51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</w:rPr>
        <w:t>51.57%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人员经费增加、退休人员补贴增加、民族宗教场所建设增加</w:t>
      </w:r>
      <w:r>
        <w:rPr>
          <w:rFonts w:ascii="仿宋" w:hAnsi="仿宋" w:eastAsia="仿宋" w:cs="仿宋"/>
          <w:spacing w:val="7"/>
          <w:sz w:val="31"/>
          <w:szCs w:val="31"/>
        </w:rPr>
        <w:t>；</w:t>
      </w:r>
      <w:r>
        <w:rPr>
          <w:rFonts w:ascii="仿宋" w:hAnsi="仿宋" w:eastAsia="仿宋" w:cs="仿宋"/>
          <w:spacing w:val="6"/>
          <w:sz w:val="31"/>
          <w:szCs w:val="31"/>
        </w:rPr>
        <w:t>项目支</w:t>
      </w:r>
      <w:r>
        <w:rPr>
          <w:rFonts w:ascii="仿宋" w:hAnsi="仿宋" w:eastAsia="仿宋" w:cs="仿宋"/>
          <w:spacing w:val="3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7"/>
          <w:sz w:val="31"/>
          <w:szCs w:val="31"/>
        </w:rPr>
        <w:t>55</w:t>
      </w:r>
      <w:r>
        <w:rPr>
          <w:rFonts w:hint="eastAsia" w:ascii="仿宋" w:hAnsi="仿宋" w:eastAsia="仿宋" w:cs="仿宋"/>
          <w:spacing w:val="47"/>
          <w:sz w:val="31"/>
          <w:szCs w:val="31"/>
          <w:lang w:val="en-US" w:eastAsia="zh-CN"/>
        </w:rPr>
        <w:t>.</w:t>
      </w:r>
      <w:r>
        <w:rPr>
          <w:rFonts w:hint="eastAsia" w:ascii="仿宋" w:hAnsi="仿宋" w:eastAsia="仿宋" w:cs="仿宋"/>
          <w:spacing w:val="47"/>
          <w:sz w:val="31"/>
          <w:szCs w:val="31"/>
        </w:rPr>
        <w:t>24</w:t>
      </w:r>
      <w:r>
        <w:rPr>
          <w:rFonts w:ascii="仿宋" w:hAnsi="仿宋" w:eastAsia="仿宋" w:cs="仿宋"/>
          <w:spacing w:val="3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3"/>
          <w:sz w:val="31"/>
          <w:szCs w:val="31"/>
        </w:rPr>
        <w:t>32.72</w:t>
      </w:r>
      <w:r>
        <w:rPr>
          <w:rFonts w:ascii="仿宋" w:hAnsi="仿宋" w:eastAsia="仿宋" w:cs="仿宋"/>
          <w:spacing w:val="3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3"/>
          <w:sz w:val="31"/>
          <w:szCs w:val="31"/>
        </w:rPr>
        <w:t>145.29%</w:t>
      </w:r>
      <w:r>
        <w:rPr>
          <w:rFonts w:ascii="仿宋" w:hAnsi="仿宋" w:eastAsia="仿宋" w:cs="仿宋"/>
          <w:spacing w:val="3"/>
          <w:sz w:val="31"/>
          <w:szCs w:val="31"/>
        </w:rPr>
        <w:t>，主</w:t>
      </w:r>
      <w:r>
        <w:rPr>
          <w:rFonts w:ascii="仿宋" w:hAnsi="仿宋" w:eastAsia="仿宋" w:cs="仿宋"/>
          <w:spacing w:val="-2"/>
          <w:sz w:val="31"/>
          <w:szCs w:val="31"/>
        </w:rPr>
        <w:t>要是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民族宗教场所建设增加</w:t>
      </w:r>
      <w:r>
        <w:rPr>
          <w:rFonts w:ascii="仿宋" w:hAnsi="仿宋" w:eastAsia="仿宋" w:cs="仿宋"/>
          <w:spacing w:val="-2"/>
          <w:sz w:val="31"/>
          <w:szCs w:val="31"/>
        </w:rPr>
        <w:t>；上缴上级支出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-2"/>
          <w:sz w:val="31"/>
          <w:szCs w:val="31"/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  <w:r>
        <w:rPr>
          <w:rFonts w:ascii="仿宋" w:hAnsi="仿宋" w:eastAsia="仿宋" w:cs="仿宋"/>
          <w:spacing w:val="2"/>
          <w:sz w:val="31"/>
          <w:szCs w:val="31"/>
        </w:rPr>
        <w:t>增长</w:t>
      </w:r>
      <w:r>
        <w:rPr>
          <w:rFonts w:hint="eastAsia" w:ascii="仿宋" w:hAnsi="仿宋" w:eastAsia="仿宋" w:cs="仿宋"/>
          <w:spacing w:val="2"/>
          <w:sz w:val="31"/>
          <w:szCs w:val="31"/>
        </w:rPr>
        <w:t>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；经营支出</w:t>
      </w:r>
      <w:r>
        <w:rPr>
          <w:rFonts w:hint="eastAsia" w:ascii="仿宋" w:hAnsi="仿宋" w:eastAsia="仿宋" w:cs="仿宋"/>
          <w:spacing w:val="46"/>
          <w:sz w:val="31"/>
          <w:szCs w:val="31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pacing w:val="1"/>
          <w:sz w:val="31"/>
          <w:szCs w:val="31"/>
        </w:rPr>
        <w:t>比上年增</w:t>
      </w:r>
      <w:r>
        <w:rPr>
          <w:rFonts w:ascii="仿宋" w:hAnsi="仿宋" w:eastAsia="仿宋" w:cs="仿宋"/>
          <w:spacing w:val="7"/>
          <w:sz w:val="31"/>
          <w:szCs w:val="31"/>
        </w:rPr>
        <w:t>加</w:t>
      </w:r>
      <w:r>
        <w:rPr>
          <w:rFonts w:hint="eastAsia" w:ascii="仿宋" w:hAnsi="仿宋" w:eastAsia="仿宋" w:cs="仿宋"/>
          <w:spacing w:val="7"/>
          <w:sz w:val="31"/>
          <w:szCs w:val="31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</w:rPr>
        <w:t>0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；对附属单</w:t>
      </w:r>
      <w:r>
        <w:rPr>
          <w:rFonts w:ascii="仿宋" w:hAnsi="仿宋" w:eastAsia="仿宋" w:cs="仿宋"/>
          <w:spacing w:val="-15"/>
          <w:sz w:val="31"/>
          <w:szCs w:val="31"/>
        </w:rPr>
        <w:t>位补助支出</w:t>
      </w:r>
      <w:r>
        <w:rPr>
          <w:rFonts w:hint="eastAsia" w:ascii="仿宋" w:hAnsi="仿宋" w:eastAsia="仿宋" w:cs="仿宋"/>
          <w:spacing w:val="45"/>
          <w:sz w:val="31"/>
          <w:szCs w:val="31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-15"/>
          <w:sz w:val="31"/>
          <w:szCs w:val="31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15"/>
          <w:sz w:val="31"/>
          <w:szCs w:val="31"/>
        </w:rPr>
        <w:t>0</w:t>
      </w:r>
      <w:r>
        <w:rPr>
          <w:rFonts w:ascii="宋体" w:hAnsi="宋体" w:eastAsia="宋体" w:cs="宋体"/>
          <w:spacing w:val="-15"/>
          <w:sz w:val="31"/>
          <w:szCs w:val="31"/>
        </w:rPr>
        <w:t>%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 w14:paraId="70E0B563">
      <w:pPr>
        <w:spacing w:before="101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01A2560F">
      <w:pPr>
        <w:spacing w:before="248" w:line="362" w:lineRule="auto"/>
        <w:ind w:left="23" w:right="86" w:firstLine="648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年度财政拨款收、支总计均为</w:t>
      </w:r>
      <w:r>
        <w:rPr>
          <w:rFonts w:hint="eastAsia" w:ascii="仿宋" w:hAnsi="仿宋" w:eastAsia="仿宋" w:cs="仿宋"/>
          <w:spacing w:val="6"/>
          <w:sz w:val="31"/>
          <w:szCs w:val="31"/>
        </w:rPr>
        <w:t>347.52</w:t>
      </w:r>
      <w:r>
        <w:rPr>
          <w:rFonts w:ascii="仿宋" w:hAnsi="仿宋" w:eastAsia="仿宋" w:cs="仿宋"/>
          <w:spacing w:val="5"/>
          <w:sz w:val="31"/>
          <w:szCs w:val="31"/>
        </w:rPr>
        <w:t>万元，与</w:t>
      </w:r>
      <w:r>
        <w:rPr>
          <w:rFonts w:ascii="宋体" w:hAnsi="宋体" w:eastAsia="宋体" w:cs="宋体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相比，财政拨款收、支总计各增加</w:t>
      </w:r>
      <w:r>
        <w:rPr>
          <w:rFonts w:hint="eastAsia" w:ascii="仿宋" w:hAnsi="仿宋" w:eastAsia="仿宋" w:cs="仿宋"/>
          <w:spacing w:val="-9"/>
          <w:sz w:val="31"/>
          <w:szCs w:val="31"/>
        </w:rPr>
        <w:t>132.05</w:t>
      </w:r>
      <w:r>
        <w:rPr>
          <w:rFonts w:ascii="仿宋" w:hAnsi="仿宋" w:eastAsia="仿宋" w:cs="仿宋"/>
          <w:spacing w:val="-9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9"/>
          <w:sz w:val="31"/>
          <w:szCs w:val="31"/>
        </w:rPr>
        <w:t>61.28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</w:t>
      </w:r>
      <w:r>
        <w:rPr>
          <w:rFonts w:ascii="宋体" w:hAnsi="宋体" w:eastAsia="宋体" w:cs="宋体"/>
          <w:spacing w:val="-1"/>
          <w:sz w:val="31"/>
          <w:szCs w:val="31"/>
        </w:rPr>
        <w:t>:</w:t>
      </w:r>
      <w:r>
        <w:rPr>
          <w:rFonts w:hint="eastAsia" w:ascii="仿宋" w:hAnsi="仿宋" w:eastAsia="仿宋" w:cs="仿宋"/>
          <w:spacing w:val="-10"/>
          <w:sz w:val="31"/>
          <w:szCs w:val="31"/>
          <w:lang w:val="en-US" w:eastAsia="zh-CN"/>
        </w:rPr>
        <w:t>人员经费增加、退休人员补贴增加、民族宗教场所建设增加。</w:t>
      </w:r>
    </w:p>
    <w:p w14:paraId="10E5CE0A">
      <w:pPr>
        <w:spacing w:before="101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0F7383D4">
      <w:pPr>
        <w:spacing w:before="248" w:line="223" w:lineRule="auto"/>
        <w:ind w:left="66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（一）一般公共预算财政拨款支出决算总体情况</w:t>
      </w:r>
    </w:p>
    <w:p w14:paraId="2B82944B">
      <w:pPr>
        <w:spacing w:before="160" w:line="357" w:lineRule="auto"/>
        <w:ind w:left="68" w:right="90" w:firstLine="636" w:firstLineChars="200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宋体" w:hAnsi="宋体" w:eastAsia="宋体" w:cs="宋体"/>
          <w:spacing w:val="4"/>
          <w:sz w:val="31"/>
          <w:szCs w:val="31"/>
          <w:highlight w:val="none"/>
        </w:rPr>
        <w:t>2023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</w:rPr>
        <w:t>347.52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万元，占本年支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出合计的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:lang w:val="en-US" w:eastAsia="zh-CN"/>
        </w:rPr>
        <w:t>100</w:t>
      </w:r>
      <w:r>
        <w:rPr>
          <w:rFonts w:ascii="宋体" w:hAnsi="宋体" w:eastAsia="宋体" w:cs="宋体"/>
          <w:spacing w:val="3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。与</w:t>
      </w:r>
      <w:r>
        <w:rPr>
          <w:rFonts w:ascii="宋体" w:hAnsi="宋体" w:eastAsia="宋体" w:cs="宋体"/>
          <w:spacing w:val="3"/>
          <w:sz w:val="31"/>
          <w:szCs w:val="31"/>
          <w:highlight w:val="none"/>
        </w:rPr>
        <w:t>2022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年度相比，一般公共预算财政拨款支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出增加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</w:rPr>
        <w:t>132.05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万元，增长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</w:rPr>
        <w:t>61.28%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。主要原因：</w:t>
      </w:r>
      <w:r>
        <w:rPr>
          <w:rFonts w:hint="eastAsia" w:ascii="仿宋" w:hAnsi="仿宋" w:eastAsia="仿宋" w:cs="仿宋"/>
          <w:spacing w:val="-10"/>
          <w:sz w:val="31"/>
          <w:szCs w:val="31"/>
          <w:highlight w:val="none"/>
          <w:lang w:val="en-US" w:eastAsia="zh-CN"/>
        </w:rPr>
        <w:t>疫情结束，支出增加。</w:t>
      </w:r>
    </w:p>
    <w:p w14:paraId="393484A5">
      <w:pPr>
        <w:spacing w:before="51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（二）一般公共预算财政拨款支出决算结构情况</w:t>
      </w:r>
    </w:p>
    <w:p w14:paraId="43456CD9">
      <w:pPr>
        <w:spacing w:before="251" w:line="364" w:lineRule="auto"/>
        <w:ind w:left="68" w:right="7" w:firstLine="60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347.52</w:t>
      </w:r>
      <w:r>
        <w:rPr>
          <w:rFonts w:ascii="仿宋" w:hAnsi="仿宋" w:eastAsia="仿宋" w:cs="仿宋"/>
          <w:spacing w:val="4"/>
          <w:sz w:val="31"/>
          <w:szCs w:val="31"/>
        </w:rPr>
        <w:t>万元，主要用于</w:t>
      </w:r>
      <w:r>
        <w:rPr>
          <w:rFonts w:ascii="仿宋" w:hAnsi="仿宋" w:eastAsia="仿宋" w:cs="仿宋"/>
          <w:spacing w:val="-6"/>
          <w:sz w:val="31"/>
          <w:szCs w:val="31"/>
        </w:rPr>
        <w:t>以下方面：一般公共服务支出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317.29</w:t>
      </w:r>
      <w:r>
        <w:rPr>
          <w:rFonts w:ascii="仿宋" w:hAnsi="仿宋" w:eastAsia="仿宋" w:cs="仿宋"/>
          <w:spacing w:val="-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91.30%</w:t>
      </w:r>
      <w:r>
        <w:rPr>
          <w:rFonts w:ascii="仿宋" w:hAnsi="仿宋" w:eastAsia="仿宋" w:cs="仿宋"/>
          <w:spacing w:val="-6"/>
          <w:sz w:val="31"/>
          <w:szCs w:val="31"/>
        </w:rPr>
        <w:t>；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住房保障支出</w:t>
      </w:r>
      <w:r>
        <w:rPr>
          <w:rFonts w:ascii="仿宋" w:hAnsi="仿宋" w:eastAsia="仿宋" w:cs="仿宋"/>
          <w:spacing w:val="-6"/>
          <w:sz w:val="31"/>
          <w:szCs w:val="31"/>
        </w:rPr>
        <w:t>支出</w:t>
      </w:r>
      <w:r>
        <w:rPr>
          <w:rFonts w:hint="eastAsia" w:ascii="仿宋" w:hAnsi="仿宋" w:eastAsia="仿宋" w:cs="仿宋"/>
          <w:spacing w:val="20"/>
          <w:sz w:val="31"/>
          <w:szCs w:val="31"/>
        </w:rPr>
        <w:t>30.24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pacing w:val="3"/>
          <w:sz w:val="31"/>
          <w:szCs w:val="31"/>
        </w:rPr>
        <w:t>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0.87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3"/>
          <w:sz w:val="31"/>
          <w:szCs w:val="31"/>
        </w:rPr>
        <w:t>；</w:t>
      </w:r>
    </w:p>
    <w:p w14:paraId="29C8B7C7">
      <w:pPr>
        <w:spacing w:before="52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（三）一般公共预算财政拨款支出决算具体情况</w:t>
      </w:r>
    </w:p>
    <w:p w14:paraId="58D474E9">
      <w:pPr>
        <w:spacing w:before="248" w:line="357" w:lineRule="auto"/>
        <w:ind w:left="38" w:right="86" w:firstLine="633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年度一般公共预算财政拨款支出年初预算为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277</w:t>
      </w:r>
      <w:r>
        <w:rPr>
          <w:rFonts w:ascii="仿宋" w:hAnsi="仿宋" w:eastAsia="仿宋" w:cs="仿宋"/>
          <w:spacing w:val="12"/>
          <w:sz w:val="31"/>
          <w:szCs w:val="31"/>
        </w:rPr>
        <w:t>万</w:t>
      </w:r>
      <w:r>
        <w:rPr>
          <w:rFonts w:ascii="仿宋" w:hAnsi="仿宋" w:eastAsia="仿宋" w:cs="仿宋"/>
          <w:spacing w:val="4"/>
          <w:sz w:val="31"/>
          <w:szCs w:val="31"/>
        </w:rPr>
        <w:t>元，支出决算为</w:t>
      </w:r>
      <w:r>
        <w:rPr>
          <w:rFonts w:hint="eastAsia" w:ascii="仿宋" w:hAnsi="仿宋" w:eastAsia="仿宋" w:cs="仿宋"/>
          <w:spacing w:val="4"/>
          <w:sz w:val="31"/>
          <w:szCs w:val="31"/>
        </w:rPr>
        <w:t>347.52</w:t>
      </w:r>
      <w:r>
        <w:rPr>
          <w:rFonts w:ascii="仿宋" w:hAnsi="仿宋" w:eastAsia="仿宋" w:cs="仿宋"/>
          <w:spacing w:val="4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4"/>
          <w:sz w:val="31"/>
          <w:szCs w:val="31"/>
        </w:rPr>
        <w:t>125.46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。其中：</w:t>
      </w:r>
    </w:p>
    <w:p w14:paraId="4F6DDD62">
      <w:pPr>
        <w:spacing w:before="54" w:line="361" w:lineRule="auto"/>
        <w:ind w:left="30" w:firstLine="660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宋体" w:hAnsi="宋体" w:eastAsia="宋体" w:cs="宋体"/>
          <w:spacing w:val="-12"/>
          <w:sz w:val="31"/>
          <w:szCs w:val="31"/>
        </w:rPr>
        <w:t>1.</w:t>
      </w:r>
      <w:r>
        <w:rPr>
          <w:rFonts w:ascii="仿宋" w:hAnsi="仿宋" w:eastAsia="仿宋" w:cs="仿宋"/>
          <w:spacing w:val="-12"/>
          <w:sz w:val="31"/>
          <w:szCs w:val="31"/>
        </w:rPr>
        <w:t>一般公共服务（类）</w:t>
      </w:r>
      <w:r>
        <w:rPr>
          <w:rFonts w:hint="eastAsia" w:ascii="仿宋" w:hAnsi="仿宋" w:eastAsia="仿宋" w:cs="仿宋"/>
          <w:spacing w:val="-12"/>
          <w:sz w:val="31"/>
          <w:szCs w:val="31"/>
        </w:rPr>
        <w:t>民族事务</w:t>
      </w:r>
      <w:r>
        <w:rPr>
          <w:rFonts w:ascii="仿宋" w:hAnsi="仿宋" w:eastAsia="仿宋" w:cs="仿宋"/>
          <w:spacing w:val="-12"/>
          <w:sz w:val="31"/>
          <w:szCs w:val="31"/>
        </w:rPr>
        <w:t>（款）</w:t>
      </w:r>
      <w:r>
        <w:rPr>
          <w:rFonts w:hint="eastAsia" w:ascii="仿宋" w:hAnsi="仿宋" w:eastAsia="仿宋" w:cs="仿宋"/>
          <w:spacing w:val="-12"/>
          <w:sz w:val="31"/>
          <w:szCs w:val="31"/>
        </w:rPr>
        <w:t>行政运行</w:t>
      </w:r>
      <w:r>
        <w:rPr>
          <w:rFonts w:ascii="仿宋" w:hAnsi="仿宋" w:eastAsia="仿宋" w:cs="仿宋"/>
          <w:spacing w:val="-12"/>
          <w:sz w:val="31"/>
          <w:szCs w:val="31"/>
        </w:rPr>
        <w:t>（项）。</w:t>
      </w:r>
      <w:r>
        <w:rPr>
          <w:rFonts w:ascii="仿宋" w:hAnsi="仿宋" w:eastAsia="仿宋" w:cs="仿宋"/>
          <w:spacing w:val="20"/>
          <w:sz w:val="31"/>
          <w:szCs w:val="31"/>
        </w:rPr>
        <w:t>年初预算为</w:t>
      </w:r>
      <w:r>
        <w:rPr>
          <w:rFonts w:hint="eastAsia" w:ascii="仿宋" w:hAnsi="仿宋" w:eastAsia="仿宋" w:cs="仿宋"/>
          <w:spacing w:val="59"/>
          <w:sz w:val="31"/>
          <w:szCs w:val="31"/>
          <w:lang w:val="en-US" w:eastAsia="zh-CN"/>
        </w:rPr>
        <w:t>232.00</w:t>
      </w:r>
      <w:r>
        <w:rPr>
          <w:rFonts w:ascii="仿宋" w:hAnsi="仿宋" w:eastAsia="仿宋" w:cs="仿宋"/>
          <w:spacing w:val="20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58"/>
          <w:sz w:val="31"/>
          <w:szCs w:val="31"/>
        </w:rPr>
        <w:t>202.50</w:t>
      </w:r>
      <w:r>
        <w:rPr>
          <w:rFonts w:ascii="仿宋" w:hAnsi="仿宋" w:eastAsia="仿宋" w:cs="仿宋"/>
          <w:spacing w:val="20"/>
          <w:sz w:val="31"/>
          <w:szCs w:val="31"/>
        </w:rPr>
        <w:t>万元，完成年初预算</w:t>
      </w:r>
      <w:r>
        <w:rPr>
          <w:rFonts w:ascii="仿宋" w:hAnsi="仿宋" w:eastAsia="仿宋" w:cs="仿宋"/>
          <w:spacing w:val="4"/>
          <w:sz w:val="31"/>
          <w:szCs w:val="31"/>
        </w:rPr>
        <w:t>的</w:t>
      </w:r>
      <w:r>
        <w:rPr>
          <w:rFonts w:hint="eastAsia" w:ascii="仿宋" w:hAnsi="仿宋" w:eastAsia="仿宋" w:cs="仿宋"/>
          <w:spacing w:val="4"/>
          <w:sz w:val="31"/>
          <w:szCs w:val="31"/>
        </w:rPr>
        <w:t>87.28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。决算数小于预算数的主要原因是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按实际需求支出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49076621">
      <w:pPr>
        <w:spacing w:before="52" w:line="322" w:lineRule="auto"/>
        <w:ind w:left="34" w:right="98" w:firstLine="636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2.</w:t>
      </w:r>
      <w:r>
        <w:rPr>
          <w:rFonts w:ascii="仿宋" w:hAnsi="仿宋" w:eastAsia="仿宋" w:cs="仿宋"/>
          <w:spacing w:val="-12"/>
          <w:sz w:val="31"/>
          <w:szCs w:val="31"/>
        </w:rPr>
        <w:t>一般公共服务</w:t>
      </w:r>
      <w:r>
        <w:rPr>
          <w:rFonts w:ascii="仿宋" w:hAnsi="仿宋" w:eastAsia="仿宋" w:cs="仿宋"/>
          <w:spacing w:val="3"/>
          <w:sz w:val="31"/>
          <w:szCs w:val="31"/>
        </w:rPr>
        <w:t>（类）</w:t>
      </w:r>
      <w:r>
        <w:rPr>
          <w:rFonts w:hint="eastAsia" w:ascii="仿宋" w:hAnsi="仿宋" w:eastAsia="仿宋" w:cs="仿宋"/>
          <w:spacing w:val="-12"/>
          <w:sz w:val="31"/>
          <w:szCs w:val="31"/>
        </w:rPr>
        <w:t>民族事务</w:t>
      </w:r>
      <w:r>
        <w:rPr>
          <w:rFonts w:ascii="仿宋" w:hAnsi="仿宋" w:eastAsia="仿宋" w:cs="仿宋"/>
          <w:spacing w:val="3"/>
          <w:sz w:val="31"/>
          <w:szCs w:val="31"/>
        </w:rPr>
        <w:t>（款）</w:t>
      </w:r>
      <w:r>
        <w:rPr>
          <w:rFonts w:hint="eastAsia" w:ascii="仿宋" w:hAnsi="仿宋" w:eastAsia="仿宋" w:cs="仿宋"/>
          <w:spacing w:val="-12"/>
          <w:sz w:val="31"/>
          <w:szCs w:val="31"/>
        </w:rPr>
        <w:t>一般行政管理事务</w:t>
      </w:r>
      <w:r>
        <w:rPr>
          <w:rFonts w:ascii="仿宋" w:hAnsi="仿宋" w:eastAsia="仿宋" w:cs="仿宋"/>
          <w:spacing w:val="3"/>
          <w:sz w:val="31"/>
          <w:szCs w:val="31"/>
        </w:rPr>
        <w:t>（项）。年初预算为</w:t>
      </w:r>
      <w:r>
        <w:rPr>
          <w:rFonts w:hint="eastAsia" w:ascii="仿宋" w:hAnsi="仿宋" w:eastAsia="仿宋" w:cs="仿宋"/>
          <w:spacing w:val="30"/>
          <w:sz w:val="31"/>
          <w:szCs w:val="31"/>
          <w:lang w:val="en-US" w:eastAsia="zh-CN"/>
        </w:rPr>
        <w:t>25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45.06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</w:rPr>
        <w:t>180.24</w:t>
      </w:r>
      <w:r>
        <w:rPr>
          <w:rFonts w:ascii="宋体" w:hAnsi="宋体" w:eastAsia="宋体" w:cs="宋体"/>
          <w:spacing w:val="13"/>
          <w:sz w:val="31"/>
          <w:szCs w:val="31"/>
        </w:rPr>
        <w:t>%</w:t>
      </w:r>
      <w:r>
        <w:rPr>
          <w:rFonts w:ascii="仿宋" w:hAnsi="仿宋" w:eastAsia="仿宋" w:cs="仿宋"/>
          <w:spacing w:val="13"/>
          <w:sz w:val="31"/>
          <w:szCs w:val="31"/>
        </w:rPr>
        <w:t>。决算数大</w:t>
      </w:r>
      <w:r>
        <w:rPr>
          <w:rFonts w:ascii="仿宋" w:hAnsi="仿宋" w:eastAsia="仿宋" w:cs="仿宋"/>
          <w:spacing w:val="-1"/>
          <w:sz w:val="31"/>
          <w:szCs w:val="31"/>
        </w:rPr>
        <w:t>于预算数的主要原因是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按实际需求支出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 w14:paraId="07E02525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pacing w:val="9"/>
          <w:sz w:val="31"/>
          <w:szCs w:val="31"/>
        </w:rPr>
      </w:pPr>
      <w:r>
        <w:rPr>
          <w:rFonts w:ascii="宋体" w:hAnsi="宋体" w:eastAsia="宋体" w:cs="宋体"/>
          <w:sz w:val="31"/>
          <w:szCs w:val="31"/>
        </w:rPr>
        <w:t>3.</w:t>
      </w:r>
      <w:r>
        <w:rPr>
          <w:rFonts w:ascii="仿宋" w:hAnsi="仿宋" w:eastAsia="仿宋" w:cs="仿宋"/>
          <w:spacing w:val="9"/>
          <w:sz w:val="31"/>
          <w:szCs w:val="31"/>
        </w:rPr>
        <w:t>一般公共服务（类）</w:t>
      </w:r>
      <w:r>
        <w:rPr>
          <w:rFonts w:hint="eastAsia" w:ascii="仿宋" w:hAnsi="仿宋" w:eastAsia="仿宋" w:cs="仿宋"/>
          <w:spacing w:val="9"/>
          <w:sz w:val="31"/>
          <w:szCs w:val="31"/>
        </w:rPr>
        <w:t>民族事务</w:t>
      </w:r>
      <w:r>
        <w:rPr>
          <w:rFonts w:ascii="仿宋" w:hAnsi="仿宋" w:eastAsia="仿宋" w:cs="仿宋"/>
          <w:spacing w:val="9"/>
          <w:sz w:val="31"/>
          <w:szCs w:val="31"/>
        </w:rPr>
        <w:t>（款）</w:t>
      </w:r>
      <w:r>
        <w:rPr>
          <w:rFonts w:hint="eastAsia" w:ascii="仿宋" w:hAnsi="仿宋" w:eastAsia="仿宋" w:cs="仿宋"/>
          <w:spacing w:val="9"/>
          <w:sz w:val="31"/>
          <w:szCs w:val="31"/>
        </w:rPr>
        <w:t>事业运行</w:t>
      </w:r>
      <w:r>
        <w:rPr>
          <w:rFonts w:ascii="仿宋" w:hAnsi="仿宋" w:eastAsia="仿宋" w:cs="仿宋"/>
          <w:spacing w:val="9"/>
          <w:sz w:val="31"/>
          <w:szCs w:val="31"/>
        </w:rPr>
        <w:t>（项）。年初预算为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9"/>
          <w:sz w:val="31"/>
          <w:szCs w:val="31"/>
        </w:rPr>
        <w:t>59.72</w:t>
      </w:r>
      <w:r>
        <w:rPr>
          <w:rFonts w:ascii="仿宋" w:hAnsi="仿宋" w:eastAsia="仿宋" w:cs="仿宋"/>
          <w:spacing w:val="9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100</w:t>
      </w:r>
      <w:r>
        <w:rPr>
          <w:rFonts w:ascii="仿宋" w:hAnsi="仿宋" w:eastAsia="仿宋" w:cs="仿宋"/>
          <w:spacing w:val="9"/>
          <w:sz w:val="31"/>
          <w:szCs w:val="31"/>
        </w:rPr>
        <w:t>%。决算数大于预算数的主要原因是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按实际需求支出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 w14:paraId="70A7460C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pacing w:val="9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4.一般公共服务（类）</w:t>
      </w:r>
      <w:r>
        <w:rPr>
          <w:rFonts w:hint="eastAsia" w:ascii="仿宋" w:hAnsi="仿宋" w:eastAsia="仿宋" w:cs="仿宋"/>
          <w:spacing w:val="9"/>
          <w:sz w:val="31"/>
          <w:szCs w:val="31"/>
        </w:rPr>
        <w:t>民族事务</w:t>
      </w:r>
      <w:r>
        <w:rPr>
          <w:rFonts w:ascii="仿宋" w:hAnsi="仿宋" w:eastAsia="仿宋" w:cs="仿宋"/>
          <w:spacing w:val="9"/>
          <w:sz w:val="31"/>
          <w:szCs w:val="31"/>
        </w:rPr>
        <w:t>（款）</w:t>
      </w:r>
      <w:r>
        <w:rPr>
          <w:rFonts w:hint="eastAsia" w:ascii="仿宋" w:hAnsi="仿宋" w:eastAsia="仿宋" w:cs="仿宋"/>
          <w:spacing w:val="9"/>
          <w:sz w:val="31"/>
          <w:szCs w:val="31"/>
        </w:rPr>
        <w:t>其他民族事务支出</w:t>
      </w:r>
      <w:r>
        <w:rPr>
          <w:rFonts w:ascii="仿宋" w:hAnsi="仿宋" w:eastAsia="仿宋" w:cs="仿宋"/>
          <w:spacing w:val="9"/>
          <w:sz w:val="31"/>
          <w:szCs w:val="31"/>
        </w:rPr>
        <w:t>（项）年初预算为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9"/>
          <w:sz w:val="31"/>
          <w:szCs w:val="31"/>
        </w:rPr>
        <w:t>10.00</w:t>
      </w:r>
      <w:r>
        <w:rPr>
          <w:rFonts w:ascii="仿宋" w:hAnsi="仿宋" w:eastAsia="仿宋" w:cs="仿宋"/>
          <w:spacing w:val="9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100</w:t>
      </w:r>
      <w:r>
        <w:rPr>
          <w:rFonts w:ascii="仿宋" w:hAnsi="仿宋" w:eastAsia="仿宋" w:cs="仿宋"/>
          <w:spacing w:val="9"/>
          <w:sz w:val="31"/>
          <w:szCs w:val="31"/>
        </w:rPr>
        <w:t>%。决算数大于预算数的主要原因是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新增项目，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按实际需求支出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</w:p>
    <w:p w14:paraId="4475F413">
      <w:pPr>
        <w:spacing w:before="53" w:line="367" w:lineRule="auto"/>
        <w:ind w:left="29" w:right="98" w:firstLine="643"/>
        <w:jc w:val="both"/>
      </w:pP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5.</w:t>
      </w:r>
      <w:r>
        <w:rPr>
          <w:rFonts w:hint="eastAsia" w:ascii="仿宋" w:hAnsi="仿宋" w:eastAsia="仿宋" w:cs="仿宋"/>
          <w:spacing w:val="9"/>
          <w:sz w:val="31"/>
          <w:szCs w:val="31"/>
        </w:rPr>
        <w:t>住房保障支出</w:t>
      </w:r>
      <w:r>
        <w:rPr>
          <w:rFonts w:ascii="仿宋" w:hAnsi="仿宋" w:eastAsia="仿宋" w:cs="仿宋"/>
          <w:spacing w:val="9"/>
          <w:sz w:val="31"/>
          <w:szCs w:val="31"/>
        </w:rPr>
        <w:t>（类）</w:t>
      </w:r>
      <w:r>
        <w:rPr>
          <w:rFonts w:hint="eastAsia" w:ascii="仿宋" w:hAnsi="仿宋" w:eastAsia="仿宋" w:cs="仿宋"/>
          <w:spacing w:val="9"/>
          <w:sz w:val="31"/>
          <w:szCs w:val="31"/>
        </w:rPr>
        <w:t>住房改革支出</w:t>
      </w:r>
      <w:r>
        <w:rPr>
          <w:rFonts w:ascii="仿宋" w:hAnsi="仿宋" w:eastAsia="仿宋" w:cs="仿宋"/>
          <w:spacing w:val="9"/>
          <w:sz w:val="31"/>
          <w:szCs w:val="31"/>
        </w:rPr>
        <w:t>（款）</w:t>
      </w:r>
      <w:r>
        <w:rPr>
          <w:rFonts w:hint="eastAsia" w:ascii="仿宋" w:hAnsi="仿宋" w:eastAsia="仿宋" w:cs="仿宋"/>
          <w:spacing w:val="9"/>
          <w:sz w:val="31"/>
          <w:szCs w:val="31"/>
        </w:rPr>
        <w:t>住房公积金</w:t>
      </w:r>
      <w:r>
        <w:rPr>
          <w:rFonts w:ascii="仿宋" w:hAnsi="仿宋" w:eastAsia="仿宋" w:cs="仿宋"/>
          <w:spacing w:val="9"/>
          <w:sz w:val="31"/>
          <w:szCs w:val="31"/>
        </w:rPr>
        <w:t>（项）年初预算为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20</w:t>
      </w:r>
      <w:r>
        <w:rPr>
          <w:rFonts w:ascii="仿宋" w:hAnsi="仿宋" w:eastAsia="仿宋" w:cs="仿宋"/>
          <w:spacing w:val="9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30.24</w:t>
      </w:r>
      <w:r>
        <w:rPr>
          <w:rFonts w:ascii="仿宋" w:hAnsi="仿宋" w:eastAsia="仿宋" w:cs="仿宋"/>
          <w:spacing w:val="9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151.20%</w:t>
      </w:r>
      <w:r>
        <w:rPr>
          <w:rFonts w:ascii="仿宋" w:hAnsi="仿宋" w:eastAsia="仿宋" w:cs="仿宋"/>
          <w:spacing w:val="9"/>
          <w:sz w:val="31"/>
          <w:szCs w:val="31"/>
        </w:rPr>
        <w:t>。决算数大于预算数的主要原因是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按实际需求支出。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</w:p>
    <w:p w14:paraId="02C3D1EE">
      <w:pPr>
        <w:spacing w:before="101" w:line="224" w:lineRule="auto"/>
        <w:ind w:firstLine="652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六、一般公共预算财政拨款基本支出决算情况说明</w:t>
      </w:r>
    </w:p>
    <w:p w14:paraId="290AD3A1">
      <w:pPr>
        <w:spacing w:before="247" w:line="357" w:lineRule="auto"/>
        <w:ind w:left="64" w:right="96" w:firstLine="607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年度一般公共预算财政拨款基本支出</w:t>
      </w:r>
      <w:r>
        <w:rPr>
          <w:rFonts w:hint="eastAsia" w:ascii="仿宋" w:hAnsi="仿宋" w:eastAsia="仿宋" w:cs="仿宋"/>
          <w:spacing w:val="33"/>
          <w:sz w:val="31"/>
          <w:szCs w:val="31"/>
        </w:rPr>
        <w:t>292.47</w:t>
      </w:r>
      <w:r>
        <w:rPr>
          <w:rFonts w:ascii="仿宋" w:hAnsi="仿宋" w:eastAsia="仿宋" w:cs="仿宋"/>
          <w:spacing w:val="12"/>
          <w:sz w:val="31"/>
          <w:szCs w:val="31"/>
        </w:rPr>
        <w:t>万元，其</w:t>
      </w:r>
      <w:r>
        <w:rPr>
          <w:rFonts w:ascii="仿宋" w:hAnsi="仿宋" w:eastAsia="仿宋" w:cs="仿宋"/>
          <w:spacing w:val="-30"/>
          <w:sz w:val="31"/>
          <w:szCs w:val="31"/>
        </w:rPr>
        <w:t>中：</w:t>
      </w:r>
    </w:p>
    <w:p w14:paraId="4197F18C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人员经费</w:t>
      </w:r>
      <w:r>
        <w:rPr>
          <w:rFonts w:hint="eastAsia" w:ascii="仿宋" w:hAnsi="仿宋" w:eastAsia="仿宋" w:cs="仿宋"/>
          <w:spacing w:val="7"/>
          <w:sz w:val="31"/>
          <w:szCs w:val="31"/>
        </w:rPr>
        <w:t>226.00</w:t>
      </w: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万元</w:t>
      </w:r>
      <w:r>
        <w:rPr>
          <w:rFonts w:ascii="仿宋" w:hAnsi="仿宋" w:eastAsia="仿宋" w:cs="仿宋"/>
          <w:spacing w:val="7"/>
          <w:sz w:val="31"/>
          <w:szCs w:val="31"/>
        </w:rPr>
        <w:t>，主要包括：基本工资、津贴补贴、奖</w:t>
      </w:r>
      <w:r>
        <w:rPr>
          <w:rFonts w:ascii="仿宋" w:hAnsi="仿宋" w:eastAsia="仿宋" w:cs="仿宋"/>
          <w:spacing w:val="9"/>
          <w:sz w:val="31"/>
          <w:szCs w:val="31"/>
        </w:rPr>
        <w:t>金、绩效工资、机关事业单位基</w:t>
      </w:r>
      <w:r>
        <w:rPr>
          <w:rFonts w:ascii="仿宋" w:hAnsi="仿宋" w:eastAsia="仿宋" w:cs="仿宋"/>
          <w:spacing w:val="8"/>
          <w:sz w:val="31"/>
          <w:szCs w:val="31"/>
        </w:rPr>
        <w:t>本养老保险缴</w:t>
      </w:r>
      <w:r>
        <w:rPr>
          <w:rFonts w:ascii="仿宋" w:hAnsi="仿宋" w:eastAsia="仿宋" w:cs="仿宋"/>
          <w:spacing w:val="9"/>
          <w:sz w:val="31"/>
          <w:szCs w:val="31"/>
        </w:rPr>
        <w:t>费、职业年金缴费、职工基本医疗保险缴费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其他社会保障缴费、住房公积金、</w:t>
      </w:r>
      <w:r>
        <w:rPr>
          <w:rFonts w:ascii="仿宋" w:hAnsi="仿宋" w:eastAsia="仿宋" w:cs="仿宋"/>
          <w:spacing w:val="3"/>
          <w:sz w:val="31"/>
          <w:szCs w:val="31"/>
        </w:rPr>
        <w:t>退休费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 w14:paraId="5332F337">
      <w:pPr>
        <w:spacing w:before="53" w:line="367" w:lineRule="auto"/>
        <w:ind w:left="29" w:right="98" w:firstLine="643"/>
        <w:jc w:val="both"/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公用经费</w:t>
      </w:r>
      <w:r>
        <w:rPr>
          <w:rFonts w:hint="eastAsia" w:ascii="仿宋" w:hAnsi="仿宋" w:eastAsia="仿宋" w:cs="仿宋"/>
          <w:spacing w:val="-1"/>
          <w:sz w:val="31"/>
          <w:szCs w:val="31"/>
        </w:rPr>
        <w:t>66.47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，主要包括：办公费、印刷费、咨询费</w:t>
      </w:r>
      <w:r>
        <w:rPr>
          <w:rFonts w:ascii="仿宋" w:hAnsi="仿宋" w:eastAsia="仿宋" w:cs="仿宋"/>
          <w:spacing w:val="9"/>
          <w:sz w:val="31"/>
          <w:szCs w:val="31"/>
        </w:rPr>
        <w:t>、水费、邮电费、</w:t>
      </w:r>
      <w:r>
        <w:rPr>
          <w:rFonts w:ascii="仿宋" w:hAnsi="仿宋" w:eastAsia="仿宋" w:cs="仿宋"/>
          <w:spacing w:val="8"/>
          <w:sz w:val="31"/>
          <w:szCs w:val="31"/>
        </w:rPr>
        <w:t>差旅</w:t>
      </w:r>
      <w:r>
        <w:rPr>
          <w:rFonts w:ascii="仿宋" w:hAnsi="仿宋" w:eastAsia="仿宋" w:cs="仿宋"/>
          <w:sz w:val="31"/>
          <w:szCs w:val="31"/>
        </w:rPr>
        <w:t>费、</w:t>
      </w:r>
      <w:r>
        <w:rPr>
          <w:rFonts w:ascii="仿宋" w:hAnsi="仿宋" w:eastAsia="仿宋" w:cs="仿宋"/>
          <w:spacing w:val="9"/>
          <w:sz w:val="31"/>
          <w:szCs w:val="31"/>
        </w:rPr>
        <w:t>委托业务费、工会经费、其他交通费用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。</w:t>
      </w:r>
    </w:p>
    <w:p w14:paraId="6D254F1B">
      <w:pPr>
        <w:spacing w:before="101" w:line="224" w:lineRule="auto"/>
        <w:ind w:left="50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</w:rPr>
        <w:t>情况说明</w:t>
      </w:r>
    </w:p>
    <w:p w14:paraId="7D5D3A0D">
      <w:pPr>
        <w:spacing w:before="254" w:line="367" w:lineRule="auto"/>
        <w:ind w:left="26" w:firstLine="641"/>
        <w:rPr>
          <w:rFonts w:ascii="仿宋" w:hAnsi="仿宋" w:eastAsia="仿宋" w:cs="仿宋"/>
          <w:spacing w:val="9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2023年度政府性基金预算财政拨款年初结转和结余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万元；本年收入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%；本年支出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比上年增加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%；年末结转和结余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万元。</w:t>
      </w:r>
    </w:p>
    <w:p w14:paraId="56FFBF36">
      <w:pPr>
        <w:spacing w:before="158" w:line="224" w:lineRule="auto"/>
        <w:ind w:left="74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八、国有资本经营预算财政拨款支出决算情况说明</w:t>
      </w:r>
    </w:p>
    <w:p w14:paraId="5DA9D053">
      <w:pPr>
        <w:spacing w:before="254" w:line="367" w:lineRule="auto"/>
        <w:ind w:left="26" w:firstLine="641"/>
      </w:pPr>
      <w:r>
        <w:rPr>
          <w:rFonts w:ascii="仿宋" w:hAnsi="仿宋" w:eastAsia="仿宋" w:cs="仿宋"/>
          <w:spacing w:val="9"/>
          <w:sz w:val="31"/>
          <w:szCs w:val="31"/>
        </w:rPr>
        <w:t>2023年度国有资本经营预算年初结转和结余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万元；本年收入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%；本年支出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%；年末结转和结余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9"/>
          <w:sz w:val="31"/>
          <w:szCs w:val="31"/>
        </w:rPr>
        <w:t>万元。</w:t>
      </w:r>
    </w:p>
    <w:p w14:paraId="7BCA74AD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九、财政拨款“三公”经费支出决算情况说明</w:t>
      </w:r>
    </w:p>
    <w:p w14:paraId="1769CE64">
      <w:pPr>
        <w:spacing w:before="249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（一）“三公”经费财政拨款支出决算总体情况说明</w:t>
      </w:r>
    </w:p>
    <w:p w14:paraId="1A46FC7C">
      <w:pPr>
        <w:spacing w:before="156" w:line="362" w:lineRule="auto"/>
        <w:ind w:left="41" w:firstLine="670" w:firstLineChars="21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年度“三公”经费财政拨款支出预算为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万元，支</w:t>
      </w:r>
      <w:r>
        <w:rPr>
          <w:rFonts w:ascii="仿宋" w:hAnsi="仿宋" w:eastAsia="仿宋" w:cs="仿宋"/>
          <w:spacing w:val="-1"/>
          <w:sz w:val="31"/>
          <w:szCs w:val="31"/>
        </w:rPr>
        <w:t>出决算为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；较</w:t>
      </w:r>
      <w:r>
        <w:rPr>
          <w:rFonts w:ascii="宋体" w:hAnsi="宋体" w:eastAsia="宋体" w:cs="宋体"/>
          <w:spacing w:val="-1"/>
          <w:sz w:val="31"/>
          <w:szCs w:val="31"/>
        </w:rPr>
        <w:t>2022</w:t>
      </w:r>
      <w:r>
        <w:rPr>
          <w:rFonts w:ascii="仿宋" w:hAnsi="仿宋" w:eastAsia="仿宋" w:cs="仿宋"/>
          <w:spacing w:val="-1"/>
          <w:sz w:val="31"/>
          <w:szCs w:val="31"/>
        </w:rPr>
        <w:t>年度增加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49C73D77">
      <w:pPr>
        <w:spacing w:before="50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（二）“三公”经费财政拨款支出决算具体情况说明</w:t>
      </w:r>
    </w:p>
    <w:p w14:paraId="6AFE0DFB">
      <w:pPr>
        <w:spacing w:before="248" w:line="366" w:lineRule="auto"/>
        <w:ind w:left="23" w:right="74" w:firstLine="668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1.</w:t>
      </w:r>
      <w:r>
        <w:rPr>
          <w:rFonts w:ascii="仿宋" w:hAnsi="仿宋" w:eastAsia="仿宋" w:cs="仿宋"/>
          <w:spacing w:val="3"/>
          <w:sz w:val="31"/>
          <w:szCs w:val="31"/>
        </w:rPr>
        <w:t>因公出国（境）费预算为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</w:t>
      </w:r>
      <w:r>
        <w:rPr>
          <w:rFonts w:ascii="宋体" w:hAnsi="宋体" w:eastAsia="宋体" w:cs="宋体"/>
          <w:spacing w:val="3"/>
          <w:sz w:val="31"/>
          <w:szCs w:val="31"/>
        </w:rPr>
        <w:t>,</w:t>
      </w:r>
      <w:r>
        <w:rPr>
          <w:rFonts w:ascii="仿宋" w:hAnsi="仿宋" w:eastAsia="仿宋" w:cs="仿宋"/>
          <w:spacing w:val="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</w:t>
      </w:r>
      <w:r>
        <w:rPr>
          <w:rFonts w:ascii="仿宋" w:hAnsi="仿宋" w:eastAsia="仿宋" w:cs="仿宋"/>
          <w:spacing w:val="2"/>
          <w:sz w:val="31"/>
          <w:szCs w:val="31"/>
        </w:rPr>
        <w:t>元，</w:t>
      </w:r>
      <w:r>
        <w:rPr>
          <w:rFonts w:ascii="仿宋" w:hAnsi="仿宋" w:eastAsia="仿宋" w:cs="仿宋"/>
          <w:sz w:val="31"/>
          <w:szCs w:val="31"/>
        </w:rPr>
        <w:t>完成预算的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z w:val="31"/>
          <w:szCs w:val="31"/>
        </w:rPr>
        <w:t>%</w:t>
      </w:r>
      <w:r>
        <w:rPr>
          <w:rFonts w:ascii="仿宋" w:hAnsi="仿宋" w:eastAsia="仿宋" w:cs="仿宋"/>
          <w:sz w:val="31"/>
          <w:szCs w:val="31"/>
        </w:rPr>
        <w:t>；支出决算较</w:t>
      </w:r>
      <w:r>
        <w:rPr>
          <w:rFonts w:ascii="宋体" w:hAnsi="宋体" w:eastAsia="宋体" w:cs="宋体"/>
          <w:sz w:val="31"/>
          <w:szCs w:val="31"/>
        </w:rPr>
        <w:t>2022</w:t>
      </w:r>
      <w:r>
        <w:rPr>
          <w:rFonts w:ascii="仿宋" w:hAnsi="仿宋" w:eastAsia="仿宋" w:cs="仿宋"/>
          <w:sz w:val="31"/>
          <w:szCs w:val="31"/>
        </w:rPr>
        <w:t>年度增加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6"/>
          <w:sz w:val="31"/>
          <w:szCs w:val="31"/>
        </w:rPr>
        <w:t>增长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。全年共有因公出国（境）团组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个，因公出国（境）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人次。</w:t>
      </w:r>
    </w:p>
    <w:p w14:paraId="23F30103">
      <w:pPr>
        <w:spacing w:before="57" w:line="364" w:lineRule="auto"/>
        <w:ind w:left="23" w:right="156" w:firstLine="648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21"/>
          <w:sz w:val="31"/>
          <w:szCs w:val="31"/>
        </w:rPr>
        <w:t>2.</w:t>
      </w:r>
      <w:r>
        <w:rPr>
          <w:rFonts w:ascii="仿宋" w:hAnsi="仿宋" w:eastAsia="仿宋" w:cs="仿宋"/>
          <w:spacing w:val="21"/>
          <w:sz w:val="31"/>
          <w:szCs w:val="31"/>
        </w:rPr>
        <w:t>公务用车购置及运行费预算为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1"/>
          <w:sz w:val="31"/>
          <w:szCs w:val="31"/>
        </w:rPr>
        <w:t>万元</w:t>
      </w:r>
      <w:r>
        <w:rPr>
          <w:rFonts w:ascii="仿宋" w:hAnsi="仿宋" w:eastAsia="仿宋" w:cs="仿宋"/>
          <w:spacing w:val="20"/>
          <w:sz w:val="31"/>
          <w:szCs w:val="31"/>
        </w:rPr>
        <w:t>，支出决算为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；较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4"/>
          <w:sz w:val="31"/>
          <w:szCs w:val="31"/>
        </w:rPr>
        <w:t>年度增加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6"/>
          <w:sz w:val="31"/>
          <w:szCs w:val="31"/>
        </w:rPr>
        <w:t>增长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-9"/>
          <w:sz w:val="31"/>
          <w:szCs w:val="31"/>
        </w:rPr>
        <w:t>。其中：</w:t>
      </w:r>
    </w:p>
    <w:p w14:paraId="7EA37888">
      <w:pPr>
        <w:spacing w:before="57" w:line="364" w:lineRule="auto"/>
        <w:ind w:left="23" w:right="156" w:firstLine="648"/>
        <w:rPr>
          <w:rFonts w:ascii="仿宋" w:hAnsi="仿宋" w:eastAsia="仿宋" w:cs="仿宋"/>
          <w:spacing w:val="21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公务用车购置费支出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万元；</w:t>
      </w:r>
      <w:r>
        <w:rPr>
          <w:rFonts w:ascii="仿宋" w:hAnsi="仿宋" w:eastAsia="仿宋" w:cs="仿宋"/>
          <w:spacing w:val="21"/>
          <w:sz w:val="31"/>
          <w:szCs w:val="31"/>
        </w:rPr>
        <w:t>截至2023年12月31日，公务用车保有量为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1"/>
          <w:sz w:val="31"/>
          <w:szCs w:val="31"/>
        </w:rPr>
        <w:t>辆,公务用车购置数为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1"/>
          <w:sz w:val="31"/>
          <w:szCs w:val="31"/>
        </w:rPr>
        <w:t>辆。</w:t>
      </w:r>
    </w:p>
    <w:p w14:paraId="0C693567">
      <w:pPr>
        <w:spacing w:before="54" w:line="221" w:lineRule="auto"/>
        <w:ind w:left="6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公务用车运行维护费支出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万元。</w:t>
      </w:r>
    </w:p>
    <w:p w14:paraId="239AAEAA">
      <w:pPr>
        <w:spacing w:before="160" w:line="364" w:lineRule="auto"/>
        <w:ind w:left="21" w:right="3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公务接待费预算为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万元，完成预</w:t>
      </w:r>
      <w:r>
        <w:rPr>
          <w:rFonts w:ascii="仿宋" w:hAnsi="仿宋" w:eastAsia="仿宋" w:cs="仿宋"/>
          <w:spacing w:val="-17"/>
          <w:sz w:val="31"/>
          <w:szCs w:val="31"/>
        </w:rPr>
        <w:t>算的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17"/>
          <w:sz w:val="31"/>
          <w:szCs w:val="31"/>
        </w:rPr>
        <w:t>%</w:t>
      </w:r>
      <w:r>
        <w:rPr>
          <w:rFonts w:ascii="仿宋" w:hAnsi="仿宋" w:eastAsia="仿宋" w:cs="仿宋"/>
          <w:spacing w:val="-17"/>
          <w:sz w:val="31"/>
          <w:szCs w:val="31"/>
        </w:rPr>
        <w:t>；较</w:t>
      </w:r>
      <w:r>
        <w:rPr>
          <w:rFonts w:ascii="宋体" w:hAnsi="宋体" w:eastAsia="宋体" w:cs="宋体"/>
          <w:spacing w:val="-17"/>
          <w:sz w:val="31"/>
          <w:szCs w:val="31"/>
        </w:rPr>
        <w:t>2022</w:t>
      </w:r>
      <w:r>
        <w:rPr>
          <w:rFonts w:ascii="仿宋" w:hAnsi="仿宋" w:eastAsia="仿宋" w:cs="仿宋"/>
          <w:spacing w:val="-17"/>
          <w:sz w:val="31"/>
          <w:szCs w:val="31"/>
        </w:rPr>
        <w:t>年度增加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-17"/>
          <w:sz w:val="31"/>
          <w:szCs w:val="31"/>
        </w:rPr>
        <w:t>%</w:t>
      </w:r>
      <w:r>
        <w:rPr>
          <w:rFonts w:ascii="仿宋" w:hAnsi="仿宋" w:eastAsia="仿宋" w:cs="仿宋"/>
          <w:spacing w:val="25"/>
          <w:sz w:val="31"/>
          <w:szCs w:val="31"/>
        </w:rPr>
        <w:t>。</w:t>
      </w:r>
      <w:r>
        <w:rPr>
          <w:rFonts w:ascii="仿宋" w:hAnsi="仿宋" w:eastAsia="仿宋" w:cs="仿宋"/>
          <w:spacing w:val="-20"/>
          <w:sz w:val="31"/>
          <w:szCs w:val="31"/>
        </w:rPr>
        <w:t>其中：</w:t>
      </w:r>
    </w:p>
    <w:p w14:paraId="1D3A14F9">
      <w:pPr>
        <w:spacing w:before="52" w:line="361" w:lineRule="auto"/>
        <w:ind w:left="33" w:firstLine="64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外事接待费支出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万元。全年共接</w:t>
      </w:r>
      <w:r>
        <w:rPr>
          <w:rFonts w:ascii="仿宋" w:hAnsi="仿宋" w:eastAsia="仿宋" w:cs="仿宋"/>
          <w:spacing w:val="7"/>
          <w:sz w:val="31"/>
          <w:szCs w:val="31"/>
        </w:rPr>
        <w:t>待外</w:t>
      </w:r>
      <w:r>
        <w:rPr>
          <w:rFonts w:ascii="仿宋" w:hAnsi="仿宋" w:eastAsia="仿宋" w:cs="仿宋"/>
          <w:spacing w:val="5"/>
          <w:sz w:val="31"/>
          <w:szCs w:val="31"/>
        </w:rPr>
        <w:t>事来访团组数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个、来访外宾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人次（不包括陪同人员）。</w:t>
      </w:r>
    </w:p>
    <w:p w14:paraId="191DE3D0">
      <w:pPr>
        <w:spacing w:before="53" w:line="362" w:lineRule="auto"/>
        <w:ind w:left="26" w:right="90" w:firstLine="640"/>
        <w:jc w:val="both"/>
      </w:pPr>
      <w:r>
        <w:rPr>
          <w:rFonts w:ascii="仿宋" w:hAnsi="仿宋" w:eastAsia="仿宋" w:cs="仿宋"/>
          <w:spacing w:val="8"/>
          <w:sz w:val="31"/>
          <w:szCs w:val="31"/>
        </w:rPr>
        <w:t>其他国内公务接待支出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万元。全年共</w:t>
      </w:r>
      <w:r>
        <w:rPr>
          <w:rFonts w:ascii="仿宋" w:hAnsi="仿宋" w:eastAsia="仿宋" w:cs="仿宋"/>
          <w:spacing w:val="22"/>
          <w:sz w:val="31"/>
          <w:szCs w:val="31"/>
        </w:rPr>
        <w:t>接待国内来访团组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2"/>
          <w:sz w:val="31"/>
          <w:szCs w:val="31"/>
        </w:rPr>
        <w:t>个、来宾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2"/>
          <w:sz w:val="31"/>
          <w:szCs w:val="31"/>
        </w:rPr>
        <w:t>人次（不包括陪同人</w:t>
      </w:r>
      <w:r>
        <w:rPr>
          <w:rFonts w:ascii="仿宋" w:hAnsi="仿宋" w:eastAsia="仿宋" w:cs="仿宋"/>
          <w:spacing w:val="1"/>
          <w:sz w:val="31"/>
          <w:szCs w:val="31"/>
        </w:rPr>
        <w:t>员）。</w:t>
      </w:r>
    </w:p>
    <w:p w14:paraId="265ED82F">
      <w:pPr>
        <w:spacing w:before="101" w:line="224" w:lineRule="auto"/>
        <w:ind w:left="750"/>
        <w:outlineLvl w:val="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十、关于2023年度绩效评价情况说明</w:t>
      </w:r>
    </w:p>
    <w:p w14:paraId="401E3882">
      <w:pPr>
        <w:spacing w:before="160" w:line="364" w:lineRule="auto"/>
        <w:ind w:left="21" w:right="3" w:firstLine="644"/>
        <w:jc w:val="both"/>
        <w:rPr>
          <w:rFonts w:ascii="仿宋" w:hAnsi="仿宋" w:eastAsia="仿宋" w:cs="仿宋"/>
          <w:spacing w:val="7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（一）绩效评价工作开展情况。绩效评价工作开展情况说明为：根据预算绩效管理要求，本部门组织对2023年度一般公共预算项目支出全面开展绩效自评，其中，一级项目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7"/>
          <w:sz w:val="31"/>
          <w:szCs w:val="31"/>
        </w:rPr>
        <w:t>个，二级项目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7"/>
          <w:sz w:val="31"/>
          <w:szCs w:val="31"/>
        </w:rPr>
        <w:t>个，共涉及资金</w:t>
      </w:r>
      <w:r>
        <w:rPr>
          <w:rFonts w:hint="eastAsia" w:ascii="仿宋" w:hAnsi="仿宋" w:eastAsia="仿宋" w:cs="仿宋"/>
          <w:spacing w:val="7"/>
          <w:sz w:val="31"/>
          <w:szCs w:val="31"/>
        </w:rPr>
        <w:t>55.06</w:t>
      </w:r>
      <w:r>
        <w:rPr>
          <w:rFonts w:ascii="仿宋" w:hAnsi="仿宋" w:eastAsia="仿宋" w:cs="仿宋"/>
          <w:spacing w:val="7"/>
          <w:sz w:val="31"/>
          <w:szCs w:val="31"/>
        </w:rPr>
        <w:t>万元，占一般公共预算项目支出总额的</w:t>
      </w:r>
      <w:r>
        <w:rPr>
          <w:rFonts w:hint="eastAsia" w:ascii="仿宋" w:hAnsi="仿宋" w:eastAsia="仿宋" w:cs="仿宋"/>
          <w:spacing w:val="7"/>
          <w:sz w:val="31"/>
          <w:szCs w:val="31"/>
        </w:rPr>
        <w:t>15.84%</w:t>
      </w:r>
      <w:r>
        <w:rPr>
          <w:rFonts w:ascii="仿宋" w:hAnsi="仿宋" w:eastAsia="仿宋" w:cs="仿宋"/>
          <w:spacing w:val="7"/>
          <w:sz w:val="31"/>
          <w:szCs w:val="31"/>
        </w:rPr>
        <w:t>。组织对2023年度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个政府性基金预算项目开展绩效自评，共涉及资金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万元，占政府性基金预算项目支出总额的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%。组织对2023年度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个国有资本经营预算项目开展绩效自评，共涉及资金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万元，占国有资本经营预算项目支出总额的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%。</w:t>
      </w:r>
    </w:p>
    <w:p w14:paraId="64A7AB47">
      <w:pPr>
        <w:spacing w:before="160" w:line="364" w:lineRule="auto"/>
        <w:ind w:left="21" w:right="3" w:firstLine="644"/>
        <w:jc w:val="both"/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10"/>
          <w:sz w:val="31"/>
          <w:szCs w:val="31"/>
        </w:rPr>
        <w:t>组织对“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全国民族团结进步示范区验收经费</w:t>
      </w:r>
      <w:r>
        <w:rPr>
          <w:rFonts w:ascii="仿宋" w:hAnsi="仿宋" w:eastAsia="仿宋" w:cs="仿宋"/>
          <w:spacing w:val="7"/>
          <w:sz w:val="31"/>
          <w:szCs w:val="31"/>
        </w:rPr>
        <w:t>”“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吉林省少数民族发展补助资金</w:t>
      </w:r>
      <w:r>
        <w:rPr>
          <w:rFonts w:ascii="仿宋" w:hAnsi="仿宋" w:eastAsia="仿宋" w:cs="仿宋"/>
          <w:spacing w:val="7"/>
          <w:sz w:val="31"/>
          <w:szCs w:val="31"/>
        </w:rPr>
        <w:t>”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“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3080010101民族宗教场所综合业务经费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”</w:t>
      </w:r>
      <w:r>
        <w:rPr>
          <w:rFonts w:ascii="仿宋" w:hAnsi="仿宋" w:eastAsia="仿宋" w:cs="仿宋"/>
          <w:spacing w:val="7"/>
          <w:sz w:val="31"/>
          <w:szCs w:val="31"/>
        </w:rPr>
        <w:t>等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10"/>
          <w:sz w:val="31"/>
          <w:szCs w:val="31"/>
        </w:rPr>
        <w:t>个项目开展了部门绩效评</w:t>
      </w:r>
      <w:r>
        <w:rPr>
          <w:rFonts w:ascii="仿宋" w:hAnsi="仿宋" w:eastAsia="仿宋" w:cs="仿宋"/>
          <w:spacing w:val="9"/>
          <w:sz w:val="31"/>
          <w:szCs w:val="31"/>
        </w:rPr>
        <w:t>价，涉及一般公共预算支出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55.06</w:t>
      </w:r>
      <w:r>
        <w:rPr>
          <w:rFonts w:ascii="仿宋" w:hAnsi="仿宋" w:eastAsia="仿宋" w:cs="仿宋"/>
          <w:spacing w:val="9"/>
          <w:sz w:val="31"/>
          <w:szCs w:val="31"/>
        </w:rPr>
        <w:t>万元，政府性基金预算支出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4"/>
          <w:sz w:val="31"/>
          <w:szCs w:val="31"/>
        </w:rPr>
        <w:t>万元，国有资本经营预算支出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4"/>
          <w:sz w:val="31"/>
          <w:szCs w:val="31"/>
        </w:rPr>
        <w:t>万元。从评价情况来</w:t>
      </w:r>
      <w:r>
        <w:rPr>
          <w:rFonts w:ascii="仿宋" w:hAnsi="仿宋" w:eastAsia="仿宋" w:cs="仿宋"/>
          <w:spacing w:val="2"/>
          <w:sz w:val="31"/>
          <w:szCs w:val="31"/>
        </w:rPr>
        <w:t>看，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项目完成程度较好，各项指标达到要求。</w:t>
      </w:r>
    </w:p>
    <w:p w14:paraId="0B3CFA2D">
      <w:pPr>
        <w:spacing w:before="160" w:line="364" w:lineRule="auto"/>
        <w:ind w:left="21" w:right="3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组织对本部门开展整体支出绩效评价，涉及一般公共预</w:t>
      </w:r>
      <w:r>
        <w:rPr>
          <w:rFonts w:ascii="仿宋" w:hAnsi="仿宋" w:eastAsia="仿宋" w:cs="仿宋"/>
          <w:spacing w:val="6"/>
          <w:sz w:val="31"/>
          <w:szCs w:val="31"/>
        </w:rPr>
        <w:t>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55.06</w:t>
      </w:r>
      <w:r>
        <w:rPr>
          <w:rFonts w:ascii="仿宋" w:hAnsi="仿宋" w:eastAsia="仿宋" w:cs="仿宋"/>
          <w:spacing w:val="6"/>
          <w:sz w:val="31"/>
          <w:szCs w:val="31"/>
        </w:rPr>
        <w:t>万元，政府性基金预算支出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万元。从评价</w:t>
      </w:r>
      <w:r>
        <w:rPr>
          <w:rFonts w:ascii="仿宋" w:hAnsi="仿宋" w:eastAsia="仿宋" w:cs="仿宋"/>
          <w:spacing w:val="5"/>
          <w:sz w:val="31"/>
          <w:szCs w:val="31"/>
        </w:rPr>
        <w:t>情况</w:t>
      </w:r>
      <w:r>
        <w:rPr>
          <w:rFonts w:ascii="仿宋" w:hAnsi="仿宋" w:eastAsia="仿宋" w:cs="仿宋"/>
          <w:spacing w:val="-11"/>
          <w:sz w:val="31"/>
          <w:szCs w:val="31"/>
        </w:rPr>
        <w:t>来看，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项目完成程度较好，各项指标达到要求。</w:t>
      </w:r>
    </w:p>
    <w:p w14:paraId="1EFEECC5">
      <w:pPr>
        <w:spacing w:before="253" w:line="356" w:lineRule="auto"/>
        <w:ind w:left="36" w:right="22" w:firstLine="622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（二）项目绩效自评结果。</w:t>
      </w:r>
    </w:p>
    <w:p w14:paraId="79A6CF87">
      <w:pPr>
        <w:spacing w:before="49" w:line="366" w:lineRule="auto"/>
        <w:ind w:left="21" w:right="107" w:firstLine="641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</w:rPr>
        <w:t>全国民族团结进步示范区验收经费</w:t>
      </w:r>
      <w:r>
        <w:rPr>
          <w:rFonts w:ascii="仿宋" w:hAnsi="仿宋" w:eastAsia="仿宋" w:cs="仿宋"/>
          <w:spacing w:val="8"/>
          <w:sz w:val="31"/>
          <w:szCs w:val="31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</w:rPr>
        <w:t>标，项目绩效自评得分为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100</w:t>
      </w:r>
      <w:r>
        <w:rPr>
          <w:rFonts w:ascii="仿宋" w:hAnsi="仿宋" w:eastAsia="仿宋" w:cs="仿宋"/>
          <w:spacing w:val="7"/>
          <w:sz w:val="31"/>
          <w:szCs w:val="31"/>
        </w:rPr>
        <w:t>分。项目全年预算数为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45</w:t>
      </w:r>
      <w:r>
        <w:rPr>
          <w:rFonts w:ascii="仿宋" w:hAnsi="仿宋" w:eastAsia="仿宋" w:cs="仿宋"/>
          <w:spacing w:val="7"/>
          <w:sz w:val="31"/>
          <w:szCs w:val="31"/>
        </w:rPr>
        <w:t>万元，执行</w:t>
      </w:r>
      <w:r>
        <w:rPr>
          <w:rFonts w:ascii="仿宋" w:hAnsi="仿宋" w:eastAsia="仿宋" w:cs="仿宋"/>
          <w:spacing w:val="8"/>
          <w:sz w:val="31"/>
          <w:szCs w:val="31"/>
        </w:rPr>
        <w:t>数为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45</w:t>
      </w:r>
      <w:r>
        <w:rPr>
          <w:rFonts w:ascii="仿宋" w:hAnsi="仿宋" w:eastAsia="仿宋" w:cs="仿宋"/>
          <w:spacing w:val="8"/>
          <w:sz w:val="31"/>
          <w:szCs w:val="31"/>
        </w:rPr>
        <w:t>万元，完成预算的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100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。项目绩效目标完成情况：一</w:t>
      </w:r>
      <w:r>
        <w:rPr>
          <w:rFonts w:ascii="仿宋" w:hAnsi="仿宋" w:eastAsia="仿宋" w:cs="仿宋"/>
          <w:spacing w:val="-1"/>
          <w:sz w:val="31"/>
          <w:szCs w:val="31"/>
        </w:rPr>
        <w:t>是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成本指标不超出</w:t>
      </w:r>
      <w:r>
        <w:rPr>
          <w:rFonts w:ascii="仿宋" w:hAnsi="仿宋" w:eastAsia="仿宋" w:cs="仿宋"/>
          <w:spacing w:val="-1"/>
          <w:sz w:val="31"/>
          <w:szCs w:val="31"/>
        </w:rPr>
        <w:t>；二是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社会效益指标促进了全国民族团结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 w14:paraId="1087B62C">
      <w:pPr>
        <w:spacing w:before="49" w:line="366" w:lineRule="auto"/>
        <w:ind w:left="21" w:right="107" w:firstLine="641"/>
        <w:rPr>
          <w:rFonts w:hint="default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吉林省少数民族发展补助资金</w:t>
      </w:r>
      <w:r>
        <w:rPr>
          <w:rFonts w:hint="eastAsia" w:ascii="仿宋" w:hAnsi="仿宋" w:eastAsia="仿宋" w:cs="仿宋"/>
          <w:spacing w:val="8"/>
          <w:sz w:val="31"/>
          <w:szCs w:val="31"/>
        </w:rPr>
        <w:t>项目绩效自评情况：根据年初设定的绩效目标，项目绩效自评得分为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分。项目全年预算数为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万元，执行数为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%。项目绩效目标完成情况：一是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成本指标不超出当年预算</w:t>
      </w:r>
      <w:r>
        <w:rPr>
          <w:rFonts w:hint="eastAsia" w:ascii="仿宋" w:hAnsi="仿宋" w:eastAsia="仿宋" w:cs="仿宋"/>
          <w:spacing w:val="8"/>
          <w:sz w:val="31"/>
          <w:szCs w:val="31"/>
        </w:rPr>
        <w:t>；二是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社会效益指标促进了少数民</w:t>
      </w:r>
      <w:bookmarkStart w:id="0" w:name="_GoBack"/>
      <w:bookmarkEnd w:id="0"/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族发展。</w:t>
      </w:r>
    </w:p>
    <w:p w14:paraId="4E07D698">
      <w:pPr>
        <w:numPr>
          <w:ilvl w:val="0"/>
          <w:numId w:val="4"/>
        </w:numPr>
        <w:spacing w:before="250" w:line="364" w:lineRule="auto"/>
        <w:ind w:left="5" w:leftChars="0" w:firstLine="625" w:firstLineChars="0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部门评价结果。</w:t>
      </w:r>
    </w:p>
    <w:p w14:paraId="167B1035">
      <w:pPr>
        <w:spacing w:before="49" w:line="366" w:lineRule="auto"/>
        <w:ind w:left="21" w:right="107" w:firstLine="641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对照部门整体支出绩效评价指标及评分标准，分别对预算绩效管理工作开展情况、部门项目支出绩效自评率、部门项目支出实际完成率、部门整体支出绩效评价结果应用情况、预决算信息公开情况、国有资产管理情况和是否有违规违纪问题方面进行说明。</w:t>
      </w:r>
    </w:p>
    <w:p w14:paraId="42648367">
      <w:pPr>
        <w:spacing w:before="49" w:line="366" w:lineRule="auto"/>
        <w:ind w:left="21" w:right="107" w:firstLine="641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本年度我单位设定1项绩效目标，分别从产出指标、效果指标对实际完成情况进行自评。我单位对本年度部门整体支出绩效评价结果基本满意，争取下一年度对各项目指标更加精细化，能够实际落地。我单位已按规定，完成预决算信息公开工作，国有资产全面有序管理，未发生违规违纪问题。</w:t>
      </w:r>
    </w:p>
    <w:p w14:paraId="62389D56">
      <w:pPr>
        <w:pStyle w:val="2"/>
        <w:spacing w:line="339" w:lineRule="auto"/>
      </w:pPr>
    </w:p>
    <w:p w14:paraId="3DD22EDD">
      <w:pPr>
        <w:spacing w:before="100" w:line="224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十一、其他重要事项情况说明</w:t>
      </w:r>
    </w:p>
    <w:p w14:paraId="167AC5A3">
      <w:pPr>
        <w:spacing w:before="24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（一）机关运行经费执行情况说明</w:t>
      </w:r>
    </w:p>
    <w:p w14:paraId="2417CDC8">
      <w:pPr>
        <w:spacing w:before="251" w:line="357" w:lineRule="auto"/>
        <w:ind w:left="19" w:right="170" w:firstLine="652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年度机关运行经费支出</w:t>
      </w:r>
      <w:r>
        <w:rPr>
          <w:rFonts w:hint="eastAsia" w:ascii="仿宋" w:hAnsi="仿宋" w:eastAsia="仿宋" w:cs="仿宋"/>
          <w:spacing w:val="7"/>
          <w:sz w:val="31"/>
          <w:szCs w:val="31"/>
        </w:rPr>
        <w:t>66.47</w:t>
      </w:r>
      <w:r>
        <w:rPr>
          <w:rFonts w:ascii="仿宋" w:hAnsi="仿宋" w:eastAsia="仿宋" w:cs="仿宋"/>
          <w:spacing w:val="7"/>
          <w:sz w:val="31"/>
          <w:szCs w:val="31"/>
        </w:rPr>
        <w:t>万元，较</w:t>
      </w:r>
      <w:r>
        <w:rPr>
          <w:rFonts w:ascii="宋体" w:hAnsi="宋体" w:eastAsia="宋体" w:cs="宋体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7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14"/>
          <w:sz w:val="31"/>
          <w:szCs w:val="31"/>
        </w:rPr>
        <w:t>43.4</w:t>
      </w:r>
      <w:r>
        <w:rPr>
          <w:rFonts w:ascii="仿宋" w:hAnsi="仿宋" w:eastAsia="仿宋" w:cs="仿宋"/>
          <w:spacing w:val="-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4"/>
          <w:sz w:val="31"/>
          <w:szCs w:val="31"/>
        </w:rPr>
        <w:t>188.12</w:t>
      </w:r>
      <w:r>
        <w:rPr>
          <w:rFonts w:ascii="宋体" w:hAnsi="宋体" w:eastAsia="宋体" w:cs="宋体"/>
          <w:spacing w:val="-4"/>
          <w:sz w:val="31"/>
          <w:szCs w:val="31"/>
        </w:rPr>
        <w:t>%</w:t>
      </w:r>
      <w:r>
        <w:rPr>
          <w:rFonts w:ascii="仿宋" w:hAnsi="仿宋" w:eastAsia="仿宋" w:cs="仿宋"/>
          <w:spacing w:val="-4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委托业务的增加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 w14:paraId="2A71B2D6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（二）政府采购支出情况说明</w:t>
      </w:r>
    </w:p>
    <w:p w14:paraId="12E63654">
      <w:pPr>
        <w:spacing w:before="249" w:line="368" w:lineRule="auto"/>
        <w:ind w:left="29" w:right="24" w:firstLine="64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2023</w:t>
      </w:r>
      <w:r>
        <w:rPr>
          <w:rFonts w:ascii="仿宋" w:hAnsi="仿宋" w:eastAsia="仿宋" w:cs="仿宋"/>
          <w:spacing w:val="8"/>
          <w:sz w:val="31"/>
          <w:szCs w:val="31"/>
        </w:rPr>
        <w:t>年度政府采购支出总额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</w:rPr>
        <w:t>其中：政府采购货物支出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万元、政府采购工程支出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万元、政府采购服务支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万元。授予中小企业合同金额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万元，占政府采购支出</w:t>
      </w:r>
      <w:r>
        <w:rPr>
          <w:rFonts w:ascii="仿宋" w:hAnsi="仿宋" w:eastAsia="仿宋" w:cs="仿宋"/>
          <w:spacing w:val="5"/>
          <w:sz w:val="31"/>
          <w:szCs w:val="31"/>
        </w:rPr>
        <w:t>总额的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5"/>
          <w:sz w:val="31"/>
          <w:szCs w:val="31"/>
        </w:rPr>
        <w:t>%</w:t>
      </w:r>
      <w:r>
        <w:rPr>
          <w:rFonts w:ascii="仿宋" w:hAnsi="仿宋" w:eastAsia="仿宋" w:cs="仿宋"/>
          <w:spacing w:val="5"/>
          <w:sz w:val="31"/>
          <w:szCs w:val="31"/>
        </w:rPr>
        <w:t>，其中：授予小微企业合同金额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万元，占授予中</w:t>
      </w:r>
      <w:r>
        <w:rPr>
          <w:rFonts w:ascii="仿宋" w:hAnsi="仿宋" w:eastAsia="仿宋" w:cs="仿宋"/>
          <w:spacing w:val="8"/>
          <w:sz w:val="31"/>
          <w:szCs w:val="31"/>
        </w:rPr>
        <w:t>小企业合同金额的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；货物采购授予中小企业合同金额占货物支出金额的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，工程采购授予中小企业合同金额占工程支出金额的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，服务采购授予中小企业合同金额占服务支出金</w:t>
      </w:r>
      <w:r>
        <w:rPr>
          <w:rFonts w:ascii="仿宋" w:hAnsi="仿宋" w:eastAsia="仿宋" w:cs="仿宋"/>
          <w:spacing w:val="2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5A0780EA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（三）国有资产占用情况说明</w:t>
      </w:r>
    </w:p>
    <w:p w14:paraId="55C23DF1">
      <w:pPr>
        <w:spacing w:before="286" w:line="340" w:lineRule="auto"/>
        <w:ind w:left="21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截至</w:t>
      </w:r>
      <w:r>
        <w:rPr>
          <w:rFonts w:ascii="宋体" w:hAnsi="宋体" w:eastAsia="宋体" w:cs="宋体"/>
          <w:sz w:val="31"/>
          <w:szCs w:val="31"/>
        </w:rPr>
        <w:t>2023</w:t>
      </w:r>
      <w:r>
        <w:rPr>
          <w:rFonts w:ascii="仿宋" w:hAnsi="仿宋" w:eastAsia="仿宋" w:cs="仿宋"/>
          <w:sz w:val="31"/>
          <w:szCs w:val="31"/>
        </w:rPr>
        <w:t>年</w:t>
      </w:r>
      <w:r>
        <w:rPr>
          <w:rFonts w:ascii="宋体" w:hAnsi="宋体" w:eastAsia="宋体" w:cs="宋体"/>
          <w:sz w:val="31"/>
          <w:szCs w:val="31"/>
        </w:rPr>
        <w:t>12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宋体" w:hAnsi="宋体" w:eastAsia="宋体" w:cs="宋体"/>
          <w:sz w:val="31"/>
          <w:szCs w:val="31"/>
        </w:rPr>
        <w:t>31</w:t>
      </w:r>
      <w:r>
        <w:rPr>
          <w:rFonts w:ascii="仿宋" w:hAnsi="仿宋" w:eastAsia="仿宋" w:cs="仿宋"/>
          <w:sz w:val="31"/>
          <w:szCs w:val="31"/>
        </w:rPr>
        <w:t>日，</w:t>
      </w:r>
      <w:r>
        <w:rPr>
          <w:rFonts w:hint="eastAsia" w:ascii="仿宋" w:hAnsi="仿宋" w:eastAsia="仿宋" w:cs="仿宋"/>
          <w:spacing w:val="7"/>
          <w:sz w:val="31"/>
          <w:szCs w:val="31"/>
        </w:rPr>
        <w:t>长春市南关区民族宗教事务局</w:t>
      </w:r>
      <w:r>
        <w:rPr>
          <w:rFonts w:ascii="仿宋" w:hAnsi="仿宋" w:eastAsia="仿宋" w:cs="仿宋"/>
          <w:spacing w:val="-1"/>
          <w:sz w:val="31"/>
          <w:szCs w:val="31"/>
        </w:rPr>
        <w:t>共有</w:t>
      </w:r>
      <w:r>
        <w:rPr>
          <w:rFonts w:ascii="仿宋" w:hAnsi="仿宋" w:eastAsia="仿宋" w:cs="仿宋"/>
          <w:spacing w:val="7"/>
          <w:sz w:val="31"/>
          <w:szCs w:val="31"/>
        </w:rPr>
        <w:t>车辆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辆，其中，副部（省）级及以上领导用车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辆、主</w:t>
      </w:r>
      <w:r>
        <w:rPr>
          <w:rFonts w:ascii="仿宋" w:hAnsi="仿宋" w:eastAsia="仿宋" w:cs="仿宋"/>
          <w:spacing w:val="8"/>
          <w:sz w:val="31"/>
          <w:szCs w:val="31"/>
        </w:rPr>
        <w:t>要负责人用车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辆、机要通信用车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辆、应急保障用车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辆、执法执勤用车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辆、特种专业技术用车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辆</w:t>
      </w:r>
      <w:r>
        <w:rPr>
          <w:rFonts w:ascii="仿宋" w:hAnsi="仿宋" w:eastAsia="仿宋" w:cs="仿宋"/>
          <w:spacing w:val="11"/>
          <w:sz w:val="31"/>
          <w:szCs w:val="31"/>
        </w:rPr>
        <w:t>、离退休</w:t>
      </w:r>
      <w:r>
        <w:rPr>
          <w:rFonts w:ascii="仿宋" w:hAnsi="仿宋" w:eastAsia="仿宋" w:cs="仿宋"/>
          <w:spacing w:val="8"/>
          <w:sz w:val="31"/>
          <w:szCs w:val="31"/>
        </w:rPr>
        <w:t>干部用车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辆、其他用车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辆；单</w:t>
      </w:r>
      <w:r>
        <w:rPr>
          <w:rFonts w:ascii="仿宋" w:hAnsi="仿宋" w:eastAsia="仿宋" w:cs="仿宋"/>
          <w:spacing w:val="2"/>
          <w:sz w:val="31"/>
          <w:szCs w:val="31"/>
        </w:rPr>
        <w:t>位价值</w:t>
      </w:r>
      <w:r>
        <w:rPr>
          <w:rFonts w:ascii="宋体" w:hAnsi="宋体" w:eastAsia="宋体" w:cs="宋体"/>
          <w:spacing w:val="2"/>
          <w:sz w:val="31"/>
          <w:szCs w:val="31"/>
        </w:rPr>
        <w:t>100</w:t>
      </w:r>
      <w:r>
        <w:rPr>
          <w:rFonts w:ascii="仿宋" w:hAnsi="仿宋" w:eastAsia="仿宋" w:cs="仿宋"/>
          <w:spacing w:val="2"/>
          <w:sz w:val="31"/>
          <w:szCs w:val="31"/>
        </w:rPr>
        <w:t>万元（含）以上设备（不含车辆）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台（套）。</w:t>
      </w:r>
    </w:p>
    <w:p w14:paraId="3D0BA9CE">
      <w:pPr>
        <w:spacing w:line="340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7" w:h="16839"/>
          <w:pgMar w:top="1431" w:right="1774" w:bottom="1153" w:left="1785" w:header="0" w:footer="965" w:gutter="0"/>
          <w:cols w:space="720" w:num="1"/>
        </w:sectPr>
      </w:pPr>
    </w:p>
    <w:p w14:paraId="6C0A7F4B">
      <w:pPr>
        <w:spacing w:before="225" w:line="443" w:lineRule="exact"/>
        <w:ind w:left="2186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名词解释</w:t>
      </w:r>
    </w:p>
    <w:p w14:paraId="4941EEDA">
      <w:pPr>
        <w:pStyle w:val="2"/>
        <w:spacing w:line="315" w:lineRule="auto"/>
      </w:pPr>
    </w:p>
    <w:p w14:paraId="694D8F21">
      <w:pPr>
        <w:pStyle w:val="2"/>
        <w:spacing w:line="315" w:lineRule="auto"/>
      </w:pPr>
    </w:p>
    <w:p w14:paraId="42FE3E06">
      <w:pPr>
        <w:pStyle w:val="2"/>
        <w:spacing w:line="315" w:lineRule="auto"/>
      </w:pPr>
    </w:p>
    <w:p w14:paraId="49DF8C69">
      <w:pPr>
        <w:spacing w:before="100" w:line="297" w:lineRule="auto"/>
        <w:ind w:left="39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预算资金。</w:t>
      </w:r>
    </w:p>
    <w:p w14:paraId="2D69CE94">
      <w:pPr>
        <w:spacing w:before="250" w:line="297" w:lineRule="auto"/>
        <w:ind w:left="30" w:right="1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财政补助收入。</w:t>
      </w:r>
    </w:p>
    <w:p w14:paraId="4A04659E">
      <w:pPr>
        <w:spacing w:before="249" w:line="298" w:lineRule="auto"/>
        <w:ind w:left="44" w:right="18" w:firstLine="64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动取得的收入。</w:t>
      </w:r>
    </w:p>
    <w:p w14:paraId="17A6B213">
      <w:pPr>
        <w:spacing w:before="249" w:line="297" w:lineRule="auto"/>
        <w:ind w:left="44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动之外开展非独立核算经营活动取得的收入。</w:t>
      </w:r>
    </w:p>
    <w:p w14:paraId="3BC3F1B0">
      <w:pPr>
        <w:spacing w:before="249" w:line="298" w:lineRule="auto"/>
        <w:ind w:left="28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按照有关规定上缴的收入。</w:t>
      </w:r>
    </w:p>
    <w:p w14:paraId="404072A0">
      <w:pPr>
        <w:spacing w:before="246" w:line="347" w:lineRule="auto"/>
        <w:ind w:left="29" w:right="14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</w:rPr>
        <w:t>行存款利息收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</w:rPr>
        <w:t>盘盈收入、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</w:rPr>
        <w:t>预收款项，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</w:rPr>
        <w:t>财政取得的经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费，以及行政单位收到的财政专户管理资金等。</w:t>
      </w:r>
    </w:p>
    <w:p w14:paraId="6A978038">
      <w:pPr>
        <w:spacing w:before="252" w:line="322" w:lineRule="auto"/>
        <w:ind w:left="28" w:right="1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按照预算管理要求使用非财政拨款结余弥补收支差额的金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额，以及使用专用结余安排支出的金额。</w:t>
      </w:r>
    </w:p>
    <w:p w14:paraId="03751AE1">
      <w:pPr>
        <w:spacing w:before="249" w:line="220" w:lineRule="auto"/>
        <w:ind w:right="1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指单位以前年度尚未完成、结转</w:t>
      </w:r>
    </w:p>
    <w:p w14:paraId="2E334246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EC63DA1">
      <w:pPr>
        <w:spacing w:before="160" w:line="357" w:lineRule="auto"/>
        <w:ind w:left="46" w:right="189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到本年按有关规定用途继续使用的资金，或项目已完成等产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生的结余资金。</w:t>
      </w:r>
    </w:p>
    <w:p w14:paraId="5F22D6D1">
      <w:pPr>
        <w:spacing w:before="48" w:line="355" w:lineRule="auto"/>
        <w:ind w:left="32" w:right="155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得税、提取的专用结余以及转入非财政拨款结余的金额等。</w:t>
      </w:r>
    </w:p>
    <w:p w14:paraId="7309B3C7">
      <w:pPr>
        <w:spacing w:before="54" w:line="364" w:lineRule="auto"/>
        <w:ind w:left="29" w:right="153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</w:rPr>
        <w:t>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以后年度继续使用的资金，或项目已完成等产生的结余资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27DEFD4A">
      <w:pPr>
        <w:spacing w:before="39" w:line="297" w:lineRule="auto"/>
        <w:ind w:left="30" w:right="15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作任务而发生的人员支出和公用支出。</w:t>
      </w:r>
    </w:p>
    <w:p w14:paraId="6D91F608">
      <w:pPr>
        <w:spacing w:before="250" w:line="298" w:lineRule="auto"/>
        <w:ind w:left="33" w:right="15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务或事业发展目标所发生的支出。</w:t>
      </w:r>
    </w:p>
    <w:p w14:paraId="1E3B9C31">
      <w:pPr>
        <w:spacing w:before="249" w:line="297" w:lineRule="auto"/>
        <w:ind w:left="44" w:right="15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活动之外开展非独立核算经营活动发生的支出。</w:t>
      </w:r>
    </w:p>
    <w:p w14:paraId="15861BAB">
      <w:pPr>
        <w:spacing w:before="249" w:line="297" w:lineRule="auto"/>
        <w:ind w:left="40" w:right="15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</w:rPr>
        <w:t>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2DAD2BE0">
      <w:pPr>
        <w:spacing w:before="251" w:line="297" w:lineRule="auto"/>
        <w:ind w:left="29" w:right="15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入之外的收入对附属单位补助发生的支出。</w:t>
      </w:r>
    </w:p>
    <w:p w14:paraId="008AF2D4">
      <w:pPr>
        <w:spacing w:before="252" w:line="342" w:lineRule="auto"/>
        <w:ind w:left="25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</w:rPr>
        <w:t>管理的“三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</w:rPr>
        <w:t>政机关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</w:rPr>
        <w:t>是政府行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</w:rPr>
        <w:t>政开支的一部分。其中，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因公出国（境）费反映公</w:t>
      </w:r>
      <w:r>
        <w:rPr>
          <w:rFonts w:ascii="仿宋" w:hAnsi="仿宋" w:eastAsia="仿宋" w:cs="仿宋"/>
          <w:spacing w:val="-13"/>
          <w:sz w:val="31"/>
          <w:szCs w:val="31"/>
        </w:rPr>
        <w:t>务出国（境）</w:t>
      </w:r>
    </w:p>
    <w:p w14:paraId="051AA752">
      <w:pPr>
        <w:spacing w:line="342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7" w:h="16839"/>
          <w:pgMar w:top="1431" w:right="1646" w:bottom="1153" w:left="1785" w:header="0" w:footer="965" w:gutter="0"/>
          <w:cols w:space="720" w:num="1"/>
        </w:sectPr>
      </w:pPr>
    </w:p>
    <w:p w14:paraId="28AF4CF3">
      <w:pPr>
        <w:spacing w:before="155" w:line="366" w:lineRule="auto"/>
        <w:ind w:left="25" w:firstLine="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</w:rPr>
        <w:t>车车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</w:rPr>
        <w:t>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</w:rPr>
        <w:t>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定开支的各类公务接待（含外宾接待）支出。</w:t>
      </w:r>
    </w:p>
    <w:p w14:paraId="2B4CF9D3">
      <w:pPr>
        <w:spacing w:before="48" w:line="347" w:lineRule="auto"/>
        <w:ind w:left="26" w:right="9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</w:rPr>
        <w:t>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</w:rPr>
        <w:t>各项资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印刷费、邮电费、差旅费、会议费、福利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</w:rPr>
        <w:t>办公用房水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</w:rPr>
        <w:t>公务用车运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行维护费以及其他费用。</w:t>
      </w:r>
    </w:p>
    <w:p w14:paraId="56FD2722">
      <w:pPr>
        <w:spacing w:before="250" w:line="322" w:lineRule="auto"/>
        <w:ind w:left="43" w:right="93" w:firstLine="640"/>
        <w:rPr>
          <w:rFonts w:ascii="仿宋" w:hAnsi="仿宋" w:eastAsia="仿宋" w:cs="仿宋"/>
          <w:sz w:val="31"/>
          <w:szCs w:val="31"/>
        </w:rPr>
      </w:pPr>
    </w:p>
    <w:sectPr>
      <w:footerReference r:id="rId16" w:type="default"/>
      <w:pgSz w:w="11907" w:h="16839"/>
      <w:pgMar w:top="1431" w:right="1705" w:bottom="1153" w:left="1785" w:header="0" w:footer="9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6F9E8"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695C9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25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39F47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26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AE6E8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BDA60">
    <w:pPr>
      <w:spacing w:line="177" w:lineRule="auto"/>
      <w:ind w:left="411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43505">
    <w:pPr>
      <w:spacing w:line="17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0031F">
    <w:pPr>
      <w:spacing w:line="177" w:lineRule="auto"/>
      <w:ind w:left="4117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BA395">
    <w:pPr>
      <w:spacing w:line="174" w:lineRule="auto"/>
      <w:ind w:left="4124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DD716">
    <w:pPr>
      <w:spacing w:line="176" w:lineRule="auto"/>
      <w:ind w:left="4123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9E200">
    <w:pPr>
      <w:spacing w:line="177" w:lineRule="auto"/>
      <w:ind w:left="4090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8"/>
        <w:sz w:val="21"/>
        <w:szCs w:val="21"/>
      </w:rPr>
      <w:t>11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78E2E">
    <w:pPr>
      <w:spacing w:line="17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B0FE4">
    <w:pPr>
      <w:spacing w:line="177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F9E9F"/>
    <w:multiLevelType w:val="singleLevel"/>
    <w:tmpl w:val="818F9E9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8CCEF45D"/>
    <w:multiLevelType w:val="singleLevel"/>
    <w:tmpl w:val="8CCEF45D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2BD3189"/>
    <w:multiLevelType w:val="singleLevel"/>
    <w:tmpl w:val="32BD3189"/>
    <w:lvl w:ilvl="0" w:tentative="0">
      <w:start w:val="3"/>
      <w:numFmt w:val="chineseCounting"/>
      <w:suff w:val="space"/>
      <w:lvlText w:val="（%1）"/>
      <w:lvlJc w:val="left"/>
      <w:pPr>
        <w:ind w:left="-29"/>
      </w:pPr>
      <w:rPr>
        <w:rFonts w:hint="eastAsia"/>
      </w:rPr>
    </w:lvl>
  </w:abstractNum>
  <w:abstractNum w:abstractNumId="3">
    <w:nsid w:val="437C977C"/>
    <w:multiLevelType w:val="singleLevel"/>
    <w:tmpl w:val="437C977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2VjZDg0ZjYzOTk1NDVmZmI4YjBlZWRkOTk5YzMwNTMifQ=="/>
  </w:docVars>
  <w:rsids>
    <w:rsidRoot w:val="00000000"/>
    <w:rsid w:val="02217FDE"/>
    <w:rsid w:val="08884DB1"/>
    <w:rsid w:val="08E5143B"/>
    <w:rsid w:val="21CA2558"/>
    <w:rsid w:val="28410E14"/>
    <w:rsid w:val="2F0138CA"/>
    <w:rsid w:val="3ECC003E"/>
    <w:rsid w:val="4B25774B"/>
    <w:rsid w:val="4F7C249C"/>
    <w:rsid w:val="50F00DE2"/>
    <w:rsid w:val="643E63CA"/>
    <w:rsid w:val="6A8D0CAC"/>
    <w:rsid w:val="6E5C0E9F"/>
    <w:rsid w:val="72243E88"/>
    <w:rsid w:val="7BF125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image" Target="media/image11.png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" Type="http://schemas.openxmlformats.org/officeDocument/2006/relationships/image" Target="media/image6.png"/><Relationship Id="rId22" Type="http://schemas.openxmlformats.org/officeDocument/2006/relationships/image" Target="media/image5.png"/><Relationship Id="rId21" Type="http://schemas.openxmlformats.org/officeDocument/2006/relationships/image" Target="media/image4.png"/><Relationship Id="rId20" Type="http://schemas.openxmlformats.org/officeDocument/2006/relationships/image" Target="media/image3.png"/><Relationship Id="rId2" Type="http://schemas.openxmlformats.org/officeDocument/2006/relationships/settings" Target="settings.xml"/><Relationship Id="rId19" Type="http://schemas.openxmlformats.org/officeDocument/2006/relationships/image" Target="media/image2.pn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22</Pages>
  <Words>5546</Words>
  <Characters>5947</Characters>
  <TotalTime>47</TotalTime>
  <ScaleCrop>false</ScaleCrop>
  <LinksUpToDate>false</LinksUpToDate>
  <CharactersWithSpaces>6019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喜欢 的小丸子</cp:lastModifiedBy>
  <dcterms:modified xsi:type="dcterms:W3CDTF">2024-11-27T08:32:11Z</dcterms:modified>
  <dc:title>2015年度部门决算公开模板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2024-08-27T09:13:36Z</vt:filetime>
  </property>
  <property fmtid="{D5CDD505-2E9C-101B-9397-08002B2CF9AE}" pid="4" name="KSOProductBuildVer">
    <vt:lpwstr>2052-12.1.0.18912</vt:lpwstr>
  </property>
  <property fmtid="{D5CDD505-2E9C-101B-9397-08002B2CF9AE}" pid="5" name="ICV">
    <vt:lpwstr>2CC8E03A7E1B4F1F9AFCB5DF3F20EE9E_13</vt:lpwstr>
  </property>
</Properties>
</file>