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227F09">
      <w:pPr>
        <w:spacing w:before="180" w:line="219" w:lineRule="auto"/>
        <w:ind w:left="47" w:firstLine="248" w:firstLineChars="100"/>
        <w:rPr>
          <w:rFonts w:ascii="宋体" w:hAnsi="宋体" w:eastAsia="宋体" w:cs="宋体"/>
          <w:sz w:val="28"/>
          <w:szCs w:val="28"/>
        </w:rPr>
      </w:pPr>
      <w:r>
        <w:rPr>
          <w:rFonts w:ascii="宋体" w:hAnsi="宋体" w:eastAsia="宋体" w:cs="宋体"/>
          <w:spacing w:val="-16"/>
          <w:sz w:val="28"/>
          <w:szCs w:val="28"/>
        </w:rPr>
        <w:t>附件</w:t>
      </w:r>
      <w:r>
        <w:rPr>
          <w:rFonts w:ascii="宋体" w:hAnsi="宋体" w:eastAsia="宋体" w:cs="宋体"/>
          <w:spacing w:val="-39"/>
          <w:sz w:val="28"/>
          <w:szCs w:val="28"/>
        </w:rPr>
        <w:t xml:space="preserve"> </w:t>
      </w:r>
      <w:r>
        <w:rPr>
          <w:rFonts w:ascii="宋体" w:hAnsi="宋体" w:eastAsia="宋体" w:cs="宋体"/>
          <w:spacing w:val="-16"/>
          <w:sz w:val="28"/>
          <w:szCs w:val="28"/>
        </w:rPr>
        <w:t>1：</w:t>
      </w:r>
    </w:p>
    <w:p w14:paraId="70F3D233">
      <w:pPr>
        <w:pStyle w:val="2"/>
        <w:spacing w:line="251" w:lineRule="auto"/>
      </w:pPr>
    </w:p>
    <w:p w14:paraId="012B896C">
      <w:pPr>
        <w:pStyle w:val="2"/>
        <w:spacing w:line="251" w:lineRule="auto"/>
      </w:pPr>
    </w:p>
    <w:p w14:paraId="1DF4F5F3">
      <w:pPr>
        <w:pStyle w:val="2"/>
        <w:spacing w:line="252" w:lineRule="auto"/>
      </w:pPr>
    </w:p>
    <w:p w14:paraId="0546DEE8">
      <w:pPr>
        <w:pStyle w:val="2"/>
        <w:spacing w:line="252" w:lineRule="auto"/>
      </w:pPr>
    </w:p>
    <w:p w14:paraId="21CDDFA7">
      <w:pPr>
        <w:pStyle w:val="2"/>
        <w:spacing w:line="252" w:lineRule="auto"/>
      </w:pPr>
    </w:p>
    <w:p w14:paraId="642D9E3B">
      <w:pPr>
        <w:pStyle w:val="2"/>
        <w:spacing w:line="252" w:lineRule="auto"/>
      </w:pPr>
    </w:p>
    <w:p w14:paraId="1E4832A9">
      <w:pPr>
        <w:pStyle w:val="2"/>
        <w:spacing w:line="252" w:lineRule="auto"/>
      </w:pPr>
    </w:p>
    <w:p w14:paraId="2973D87E">
      <w:pPr>
        <w:pStyle w:val="2"/>
        <w:spacing w:line="252" w:lineRule="auto"/>
      </w:pPr>
    </w:p>
    <w:p w14:paraId="18631AA5">
      <w:pPr>
        <w:pStyle w:val="2"/>
        <w:spacing w:line="252" w:lineRule="auto"/>
      </w:pPr>
    </w:p>
    <w:p w14:paraId="2B4FF9AB">
      <w:pPr>
        <w:pStyle w:val="2"/>
        <w:spacing w:line="252" w:lineRule="auto"/>
      </w:pPr>
    </w:p>
    <w:p w14:paraId="47504725">
      <w:pPr>
        <w:pStyle w:val="2"/>
        <w:spacing w:line="252" w:lineRule="auto"/>
      </w:pPr>
    </w:p>
    <w:p w14:paraId="21FB04D3">
      <w:pPr>
        <w:pStyle w:val="2"/>
        <w:spacing w:line="252" w:lineRule="auto"/>
      </w:pPr>
    </w:p>
    <w:p w14:paraId="2F4B9D92">
      <w:pPr>
        <w:pStyle w:val="2"/>
        <w:spacing w:line="252" w:lineRule="auto"/>
      </w:pPr>
    </w:p>
    <w:p w14:paraId="4F55A623">
      <w:pPr>
        <w:spacing w:before="180" w:line="187" w:lineRule="auto"/>
        <w:ind w:left="3255"/>
        <w:rPr>
          <w:rFonts w:ascii="微软雅黑" w:hAnsi="微软雅黑" w:eastAsia="微软雅黑" w:cs="微软雅黑"/>
          <w:sz w:val="42"/>
          <w:szCs w:val="42"/>
        </w:rPr>
      </w:pPr>
      <w:r>
        <w:rPr>
          <w:rFonts w:ascii="宋体" w:hAnsi="宋体" w:eastAsia="宋体" w:cs="宋体"/>
          <w:spacing w:val="4"/>
          <w:sz w:val="43"/>
          <w:szCs w:val="43"/>
        </w:rPr>
        <w:t>2023</w:t>
      </w:r>
      <w:r>
        <w:rPr>
          <w:rFonts w:ascii="宋体" w:hAnsi="宋体" w:eastAsia="宋体" w:cs="宋体"/>
          <w:spacing w:val="-103"/>
          <w:sz w:val="43"/>
          <w:szCs w:val="43"/>
        </w:rPr>
        <w:t xml:space="preserve"> </w:t>
      </w:r>
      <w:r>
        <w:rPr>
          <w:rFonts w:ascii="微软雅黑" w:hAnsi="微软雅黑" w:eastAsia="微软雅黑" w:cs="微软雅黑"/>
          <w:spacing w:val="4"/>
          <w:sz w:val="42"/>
          <w:szCs w:val="42"/>
        </w:rPr>
        <w:t>年度</w:t>
      </w:r>
    </w:p>
    <w:p w14:paraId="0E875874">
      <w:pPr>
        <w:pStyle w:val="2"/>
        <w:spacing w:line="477" w:lineRule="auto"/>
      </w:pPr>
    </w:p>
    <w:p w14:paraId="0C4B571C">
      <w:pPr>
        <w:spacing w:before="189" w:line="181" w:lineRule="auto"/>
        <w:ind w:left="1099"/>
        <w:rPr>
          <w:rFonts w:ascii="微软雅黑" w:hAnsi="微软雅黑" w:eastAsia="微软雅黑" w:cs="微软雅黑"/>
          <w:sz w:val="44"/>
          <w:szCs w:val="44"/>
        </w:rPr>
      </w:pPr>
      <w:r>
        <w:rPr>
          <w:rFonts w:hint="eastAsia" w:ascii="微软雅黑" w:hAnsi="微软雅黑" w:eastAsia="微软雅黑" w:cs="微软雅黑"/>
          <w:spacing w:val="34"/>
          <w:sz w:val="44"/>
          <w:szCs w:val="44"/>
          <w:lang w:eastAsia="zh-CN"/>
        </w:rPr>
        <w:t>长春市南关区财政局</w:t>
      </w:r>
      <w:r>
        <w:rPr>
          <w:rFonts w:ascii="微软雅黑" w:hAnsi="微软雅黑" w:eastAsia="微软雅黑" w:cs="微软雅黑"/>
          <w:spacing w:val="34"/>
          <w:sz w:val="44"/>
          <w:szCs w:val="44"/>
        </w:rPr>
        <w:t>部门决算</w:t>
      </w:r>
    </w:p>
    <w:p w14:paraId="7FB82ED9">
      <w:pPr>
        <w:pStyle w:val="2"/>
        <w:spacing w:line="242" w:lineRule="auto"/>
      </w:pPr>
    </w:p>
    <w:p w14:paraId="0D0064E3">
      <w:pPr>
        <w:pStyle w:val="2"/>
        <w:spacing w:line="242" w:lineRule="auto"/>
      </w:pPr>
    </w:p>
    <w:p w14:paraId="7714B811">
      <w:pPr>
        <w:pStyle w:val="2"/>
        <w:spacing w:line="242" w:lineRule="auto"/>
      </w:pPr>
    </w:p>
    <w:p w14:paraId="09D74ED4">
      <w:pPr>
        <w:pStyle w:val="2"/>
        <w:spacing w:line="242" w:lineRule="auto"/>
      </w:pPr>
    </w:p>
    <w:p w14:paraId="527F82EF">
      <w:pPr>
        <w:pStyle w:val="2"/>
        <w:spacing w:line="242" w:lineRule="auto"/>
      </w:pPr>
    </w:p>
    <w:p w14:paraId="3E7E6AB4">
      <w:pPr>
        <w:pStyle w:val="2"/>
        <w:spacing w:line="242" w:lineRule="auto"/>
      </w:pPr>
    </w:p>
    <w:p w14:paraId="4C2ABEA2">
      <w:pPr>
        <w:pStyle w:val="2"/>
        <w:spacing w:line="242" w:lineRule="auto"/>
      </w:pPr>
    </w:p>
    <w:p w14:paraId="23BFD567">
      <w:pPr>
        <w:pStyle w:val="2"/>
        <w:spacing w:line="242" w:lineRule="auto"/>
      </w:pPr>
    </w:p>
    <w:p w14:paraId="25015223">
      <w:pPr>
        <w:pStyle w:val="2"/>
        <w:spacing w:line="242" w:lineRule="auto"/>
      </w:pPr>
    </w:p>
    <w:p w14:paraId="4C8CDA9F">
      <w:pPr>
        <w:pStyle w:val="2"/>
        <w:spacing w:line="242" w:lineRule="auto"/>
      </w:pPr>
    </w:p>
    <w:p w14:paraId="64F71DCE">
      <w:pPr>
        <w:pStyle w:val="2"/>
        <w:spacing w:line="242" w:lineRule="auto"/>
      </w:pPr>
    </w:p>
    <w:p w14:paraId="444D53E2">
      <w:pPr>
        <w:pStyle w:val="2"/>
        <w:spacing w:line="243" w:lineRule="auto"/>
      </w:pPr>
    </w:p>
    <w:p w14:paraId="2DE5C3DA">
      <w:pPr>
        <w:pStyle w:val="2"/>
        <w:spacing w:line="243" w:lineRule="auto"/>
      </w:pPr>
    </w:p>
    <w:p w14:paraId="3347EC3A">
      <w:pPr>
        <w:pStyle w:val="2"/>
        <w:spacing w:line="243" w:lineRule="auto"/>
      </w:pPr>
    </w:p>
    <w:p w14:paraId="2D99E9B8">
      <w:pPr>
        <w:pStyle w:val="2"/>
        <w:spacing w:line="243" w:lineRule="auto"/>
      </w:pPr>
    </w:p>
    <w:p w14:paraId="6E0B1ADB">
      <w:pPr>
        <w:pStyle w:val="2"/>
        <w:spacing w:line="243" w:lineRule="auto"/>
      </w:pPr>
    </w:p>
    <w:p w14:paraId="05F0D564">
      <w:pPr>
        <w:pStyle w:val="2"/>
        <w:spacing w:line="243" w:lineRule="auto"/>
      </w:pPr>
    </w:p>
    <w:p w14:paraId="630C06D5">
      <w:pPr>
        <w:pStyle w:val="2"/>
        <w:spacing w:line="243" w:lineRule="auto"/>
      </w:pPr>
    </w:p>
    <w:p w14:paraId="3F846AF5">
      <w:pPr>
        <w:pStyle w:val="2"/>
        <w:spacing w:line="243" w:lineRule="auto"/>
      </w:pPr>
    </w:p>
    <w:p w14:paraId="68A165F0">
      <w:pPr>
        <w:pStyle w:val="2"/>
        <w:spacing w:line="243" w:lineRule="auto"/>
      </w:pPr>
    </w:p>
    <w:p w14:paraId="6A49B732">
      <w:pPr>
        <w:spacing w:before="101" w:line="224" w:lineRule="auto"/>
        <w:ind w:left="2944"/>
        <w:rPr>
          <w:rFonts w:ascii="仿宋" w:hAnsi="仿宋" w:eastAsia="仿宋" w:cs="仿宋"/>
          <w:sz w:val="31"/>
          <w:szCs w:val="31"/>
        </w:rPr>
      </w:pPr>
      <w:r>
        <w:rPr>
          <w:rFonts w:ascii="宋体" w:hAnsi="宋体" w:eastAsia="宋体" w:cs="宋体"/>
          <w:spacing w:val="-6"/>
          <w:sz w:val="31"/>
          <w:szCs w:val="31"/>
        </w:rPr>
        <w:t>2024</w:t>
      </w:r>
      <w:r>
        <w:rPr>
          <w:rFonts w:ascii="宋体" w:hAnsi="宋体" w:eastAsia="宋体" w:cs="宋体"/>
          <w:spacing w:val="-48"/>
          <w:sz w:val="31"/>
          <w:szCs w:val="31"/>
        </w:rPr>
        <w:t xml:space="preserve"> </w:t>
      </w:r>
      <w:r>
        <w:rPr>
          <w:rFonts w:ascii="仿宋" w:hAnsi="仿宋" w:eastAsia="仿宋" w:cs="仿宋"/>
          <w:spacing w:val="-6"/>
          <w:sz w:val="31"/>
          <w:szCs w:val="31"/>
        </w:rPr>
        <w:t>年</w:t>
      </w:r>
      <w:r>
        <w:rPr>
          <w:rFonts w:hint="eastAsia" w:ascii="仿宋" w:hAnsi="仿宋" w:eastAsia="仿宋" w:cs="仿宋"/>
          <w:spacing w:val="-6"/>
          <w:sz w:val="31"/>
          <w:szCs w:val="31"/>
          <w:lang w:val="en-US" w:eastAsia="zh-CN"/>
        </w:rPr>
        <w:t>0</w:t>
      </w:r>
      <w:r>
        <w:rPr>
          <w:rFonts w:hint="eastAsia" w:ascii="仿宋" w:hAnsi="仿宋" w:eastAsia="仿宋" w:cs="仿宋"/>
          <w:spacing w:val="23"/>
          <w:sz w:val="31"/>
          <w:szCs w:val="31"/>
          <w:lang w:val="en-US" w:eastAsia="zh-CN"/>
        </w:rPr>
        <w:t>9</w:t>
      </w:r>
      <w:r>
        <w:rPr>
          <w:rFonts w:ascii="仿宋" w:hAnsi="仿宋" w:eastAsia="仿宋" w:cs="仿宋"/>
          <w:spacing w:val="-6"/>
          <w:sz w:val="31"/>
          <w:szCs w:val="31"/>
        </w:rPr>
        <w:t>月</w:t>
      </w:r>
      <w:r>
        <w:rPr>
          <w:rFonts w:hint="eastAsia" w:ascii="仿宋" w:hAnsi="仿宋" w:eastAsia="仿宋" w:cs="仿宋"/>
          <w:spacing w:val="-6"/>
          <w:sz w:val="31"/>
          <w:szCs w:val="31"/>
          <w:lang w:val="en-US" w:eastAsia="zh-CN"/>
        </w:rPr>
        <w:t>11</w:t>
      </w:r>
      <w:r>
        <w:rPr>
          <w:rFonts w:ascii="仿宋" w:hAnsi="仿宋" w:eastAsia="仿宋" w:cs="仿宋"/>
          <w:spacing w:val="-6"/>
          <w:sz w:val="31"/>
          <w:szCs w:val="31"/>
        </w:rPr>
        <w:t>日</w:t>
      </w:r>
    </w:p>
    <w:p w14:paraId="326CDFC0">
      <w:pPr>
        <w:spacing w:line="224" w:lineRule="auto"/>
        <w:rPr>
          <w:rFonts w:ascii="仿宋" w:hAnsi="仿宋" w:eastAsia="仿宋" w:cs="仿宋"/>
          <w:sz w:val="31"/>
          <w:szCs w:val="31"/>
        </w:rPr>
        <w:sectPr>
          <w:footerReference r:id="rId5" w:type="default"/>
          <w:pgSz w:w="11907" w:h="16839"/>
          <w:pgMar w:top="1431" w:right="1785" w:bottom="1153" w:left="1785" w:header="0" w:footer="965" w:gutter="0"/>
          <w:pgNumType w:fmt="decimal"/>
          <w:cols w:space="720" w:num="1"/>
        </w:sectPr>
      </w:pPr>
    </w:p>
    <w:p w14:paraId="15667CAB">
      <w:pPr>
        <w:pStyle w:val="2"/>
        <w:spacing w:line="289" w:lineRule="auto"/>
      </w:pPr>
    </w:p>
    <w:p w14:paraId="2654F9EC">
      <w:pPr>
        <w:pStyle w:val="2"/>
        <w:spacing w:line="290" w:lineRule="auto"/>
      </w:pPr>
    </w:p>
    <w:p w14:paraId="41526DEA">
      <w:pPr>
        <w:spacing w:before="140" w:line="223" w:lineRule="auto"/>
        <w:ind w:left="3502"/>
        <w:outlineLvl w:val="0"/>
        <w:rPr>
          <w:rFonts w:ascii="仿宋" w:hAnsi="仿宋" w:eastAsia="仿宋" w:cs="仿宋"/>
          <w:sz w:val="43"/>
          <w:szCs w:val="43"/>
        </w:rPr>
      </w:pPr>
      <w:r>
        <w:rPr>
          <w:rFonts w:ascii="仿宋" w:hAnsi="仿宋" w:eastAsia="仿宋" w:cs="仿宋"/>
          <w:spacing w:val="-49"/>
          <w:sz w:val="43"/>
          <w:szCs w:val="43"/>
        </w:rPr>
        <w:t>目</w:t>
      </w:r>
      <w:r>
        <w:rPr>
          <w:rFonts w:ascii="仿宋" w:hAnsi="仿宋" w:eastAsia="仿宋" w:cs="仿宋"/>
          <w:spacing w:val="20"/>
          <w:sz w:val="43"/>
          <w:szCs w:val="43"/>
        </w:rPr>
        <w:t xml:space="preserve">   </w:t>
      </w:r>
      <w:r>
        <w:rPr>
          <w:rFonts w:ascii="仿宋" w:hAnsi="仿宋" w:eastAsia="仿宋" w:cs="仿宋"/>
          <w:spacing w:val="-49"/>
          <w:sz w:val="43"/>
          <w:szCs w:val="43"/>
        </w:rPr>
        <w:t>录</w:t>
      </w:r>
    </w:p>
    <w:p w14:paraId="43D3DA1F">
      <w:pPr>
        <w:pStyle w:val="2"/>
        <w:spacing w:line="341" w:lineRule="auto"/>
      </w:pPr>
    </w:p>
    <w:p w14:paraId="64BB0F6C">
      <w:pPr>
        <w:pStyle w:val="2"/>
        <w:spacing w:line="342" w:lineRule="auto"/>
      </w:pPr>
    </w:p>
    <w:p w14:paraId="705A752D">
      <w:pPr>
        <w:spacing w:before="101" w:line="223" w:lineRule="auto"/>
        <w:ind w:left="49"/>
        <w:rPr>
          <w:rFonts w:ascii="仿宋" w:hAnsi="仿宋" w:eastAsia="仿宋" w:cs="仿宋"/>
          <w:sz w:val="31"/>
          <w:szCs w:val="31"/>
        </w:rPr>
      </w:pPr>
      <w:r>
        <w:rPr>
          <w:rFonts w:ascii="仿宋" w:hAnsi="仿宋" w:eastAsia="仿宋" w:cs="仿宋"/>
          <w:b/>
          <w:bCs/>
          <w:sz w:val="31"/>
          <w:szCs w:val="31"/>
        </w:rPr>
        <w:t>第一部分</w:t>
      </w:r>
      <w:r>
        <w:rPr>
          <w:rFonts w:ascii="仿宋" w:hAnsi="仿宋" w:eastAsia="仿宋" w:cs="仿宋"/>
          <w:spacing w:val="18"/>
          <w:sz w:val="31"/>
          <w:szCs w:val="31"/>
        </w:rPr>
        <w:t xml:space="preserve">  </w:t>
      </w:r>
      <w:r>
        <w:rPr>
          <w:rFonts w:ascii="仿宋" w:hAnsi="仿宋" w:eastAsia="仿宋" w:cs="仿宋"/>
          <w:b/>
          <w:bCs/>
          <w:sz w:val="31"/>
          <w:szCs w:val="31"/>
        </w:rPr>
        <w:t>部门概况</w:t>
      </w:r>
    </w:p>
    <w:p w14:paraId="02557FF7">
      <w:pPr>
        <w:spacing w:before="249" w:line="223" w:lineRule="auto"/>
        <w:ind w:left="40"/>
        <w:rPr>
          <w:rFonts w:ascii="仿宋" w:hAnsi="仿宋" w:eastAsia="仿宋" w:cs="仿宋"/>
          <w:sz w:val="31"/>
          <w:szCs w:val="31"/>
        </w:rPr>
      </w:pPr>
      <w:r>
        <w:rPr>
          <w:rFonts w:ascii="仿宋" w:hAnsi="仿宋" w:eastAsia="仿宋" w:cs="仿宋"/>
          <w:sz w:val="31"/>
          <w:szCs w:val="31"/>
        </w:rPr>
        <w:t>一、部门职责</w:t>
      </w:r>
    </w:p>
    <w:p w14:paraId="2DAA1A00">
      <w:pPr>
        <w:spacing w:before="250" w:line="222" w:lineRule="auto"/>
        <w:ind w:left="45"/>
        <w:rPr>
          <w:rFonts w:ascii="仿宋" w:hAnsi="仿宋" w:eastAsia="仿宋" w:cs="仿宋"/>
          <w:sz w:val="31"/>
          <w:szCs w:val="31"/>
        </w:rPr>
      </w:pPr>
      <w:r>
        <w:rPr>
          <w:rFonts w:ascii="仿宋" w:hAnsi="仿宋" w:eastAsia="仿宋" w:cs="仿宋"/>
          <w:spacing w:val="7"/>
          <w:sz w:val="31"/>
          <w:szCs w:val="31"/>
        </w:rPr>
        <w:t>二、机构设置及部门决算单位构成</w:t>
      </w:r>
    </w:p>
    <w:p w14:paraId="38A0012D">
      <w:pPr>
        <w:spacing w:before="250" w:line="223" w:lineRule="auto"/>
        <w:ind w:left="49"/>
        <w:outlineLvl w:val="1"/>
        <w:rPr>
          <w:rFonts w:ascii="仿宋" w:hAnsi="仿宋" w:eastAsia="仿宋" w:cs="仿宋"/>
          <w:sz w:val="31"/>
          <w:szCs w:val="31"/>
        </w:rPr>
      </w:pPr>
      <w:r>
        <w:rPr>
          <w:rFonts w:ascii="仿宋" w:hAnsi="仿宋" w:eastAsia="仿宋" w:cs="仿宋"/>
          <w:b/>
          <w:bCs/>
          <w:spacing w:val="2"/>
          <w:sz w:val="31"/>
          <w:szCs w:val="31"/>
        </w:rPr>
        <w:t>第二部分</w:t>
      </w:r>
      <w:r>
        <w:rPr>
          <w:rFonts w:ascii="仿宋" w:hAnsi="仿宋" w:eastAsia="仿宋" w:cs="仿宋"/>
          <w:spacing w:val="2"/>
          <w:sz w:val="31"/>
          <w:szCs w:val="31"/>
        </w:rPr>
        <w:t xml:space="preserve"> </w:t>
      </w:r>
      <w:r>
        <w:rPr>
          <w:rFonts w:ascii="宋体" w:hAnsi="宋体" w:eastAsia="宋体" w:cs="宋体"/>
          <w:b/>
          <w:bCs/>
          <w:spacing w:val="2"/>
          <w:sz w:val="31"/>
          <w:szCs w:val="31"/>
        </w:rPr>
        <w:t>2023</w:t>
      </w:r>
      <w:r>
        <w:rPr>
          <w:rFonts w:ascii="宋体" w:hAnsi="宋体" w:eastAsia="宋体" w:cs="宋体"/>
          <w:spacing w:val="-36"/>
          <w:sz w:val="31"/>
          <w:szCs w:val="31"/>
        </w:rPr>
        <w:t xml:space="preserve"> </w:t>
      </w:r>
      <w:r>
        <w:rPr>
          <w:rFonts w:ascii="仿宋" w:hAnsi="仿宋" w:eastAsia="仿宋" w:cs="仿宋"/>
          <w:b/>
          <w:bCs/>
          <w:spacing w:val="2"/>
          <w:sz w:val="31"/>
          <w:szCs w:val="31"/>
        </w:rPr>
        <w:t>年度部门决算表</w:t>
      </w:r>
    </w:p>
    <w:p w14:paraId="767C4B94">
      <w:pPr>
        <w:spacing w:before="250" w:line="223" w:lineRule="auto"/>
        <w:ind w:left="40"/>
        <w:rPr>
          <w:rFonts w:ascii="仿宋" w:hAnsi="仿宋" w:eastAsia="仿宋" w:cs="仿宋"/>
          <w:sz w:val="31"/>
          <w:szCs w:val="31"/>
        </w:rPr>
      </w:pPr>
      <w:r>
        <w:rPr>
          <w:rFonts w:ascii="仿宋" w:hAnsi="仿宋" w:eastAsia="仿宋" w:cs="仿宋"/>
          <w:spacing w:val="4"/>
          <w:sz w:val="31"/>
          <w:szCs w:val="31"/>
        </w:rPr>
        <w:t>一、收入支出决算总表</w:t>
      </w:r>
    </w:p>
    <w:p w14:paraId="085AC291">
      <w:pPr>
        <w:spacing w:before="250" w:line="223" w:lineRule="auto"/>
        <w:ind w:left="45"/>
        <w:rPr>
          <w:rFonts w:ascii="仿宋" w:hAnsi="仿宋" w:eastAsia="仿宋" w:cs="仿宋"/>
          <w:sz w:val="31"/>
          <w:szCs w:val="31"/>
        </w:rPr>
      </w:pPr>
      <w:r>
        <w:rPr>
          <w:rFonts w:ascii="仿宋" w:hAnsi="仿宋" w:eastAsia="仿宋" w:cs="仿宋"/>
          <w:spacing w:val="5"/>
          <w:sz w:val="31"/>
          <w:szCs w:val="31"/>
        </w:rPr>
        <w:t>二、收入决算表</w:t>
      </w:r>
    </w:p>
    <w:p w14:paraId="42019872">
      <w:pPr>
        <w:spacing w:before="249" w:line="223" w:lineRule="auto"/>
        <w:ind w:left="44"/>
        <w:rPr>
          <w:rFonts w:ascii="仿宋" w:hAnsi="仿宋" w:eastAsia="仿宋" w:cs="仿宋"/>
          <w:sz w:val="31"/>
          <w:szCs w:val="31"/>
        </w:rPr>
      </w:pPr>
      <w:r>
        <w:rPr>
          <w:rFonts w:ascii="仿宋" w:hAnsi="仿宋" w:eastAsia="仿宋" w:cs="仿宋"/>
          <w:spacing w:val="5"/>
          <w:sz w:val="31"/>
          <w:szCs w:val="31"/>
        </w:rPr>
        <w:t>三、支出决算表</w:t>
      </w:r>
    </w:p>
    <w:p w14:paraId="128DB1E8">
      <w:pPr>
        <w:spacing w:before="250" w:line="223" w:lineRule="auto"/>
        <w:ind w:left="73"/>
        <w:rPr>
          <w:rFonts w:ascii="仿宋" w:hAnsi="仿宋" w:eastAsia="仿宋" w:cs="仿宋"/>
          <w:sz w:val="31"/>
          <w:szCs w:val="31"/>
        </w:rPr>
      </w:pPr>
      <w:r>
        <w:rPr>
          <w:rFonts w:ascii="仿宋" w:hAnsi="仿宋" w:eastAsia="仿宋" w:cs="仿宋"/>
          <w:spacing w:val="5"/>
          <w:sz w:val="31"/>
          <w:szCs w:val="31"/>
        </w:rPr>
        <w:t>四、财政拨款收入支出决算总表</w:t>
      </w:r>
    </w:p>
    <w:p w14:paraId="32D29452">
      <w:pPr>
        <w:spacing w:before="249" w:line="223" w:lineRule="auto"/>
        <w:ind w:left="40"/>
        <w:rPr>
          <w:rFonts w:ascii="仿宋" w:hAnsi="仿宋" w:eastAsia="仿宋" w:cs="仿宋"/>
          <w:sz w:val="31"/>
          <w:szCs w:val="31"/>
        </w:rPr>
      </w:pPr>
      <w:r>
        <w:rPr>
          <w:rFonts w:ascii="仿宋" w:hAnsi="仿宋" w:eastAsia="仿宋" w:cs="仿宋"/>
          <w:spacing w:val="8"/>
          <w:sz w:val="31"/>
          <w:szCs w:val="31"/>
        </w:rPr>
        <w:t>五、一般公共预算财政拨款支出决算表</w:t>
      </w:r>
    </w:p>
    <w:p w14:paraId="6D50BF24">
      <w:pPr>
        <w:spacing w:before="250" w:line="223" w:lineRule="auto"/>
        <w:ind w:left="38"/>
        <w:rPr>
          <w:rFonts w:ascii="仿宋" w:hAnsi="仿宋" w:eastAsia="仿宋" w:cs="仿宋"/>
          <w:sz w:val="31"/>
          <w:szCs w:val="31"/>
        </w:rPr>
      </w:pPr>
      <w:r>
        <w:rPr>
          <w:rFonts w:ascii="仿宋" w:hAnsi="仿宋" w:eastAsia="仿宋" w:cs="仿宋"/>
          <w:spacing w:val="8"/>
          <w:sz w:val="31"/>
          <w:szCs w:val="31"/>
        </w:rPr>
        <w:t>六、一般公共预算财政拨款基本支出决算明细表</w:t>
      </w:r>
    </w:p>
    <w:p w14:paraId="31C002B6">
      <w:pPr>
        <w:spacing w:before="251" w:line="221" w:lineRule="auto"/>
        <w:ind w:left="41"/>
        <w:rPr>
          <w:rFonts w:ascii="仿宋" w:hAnsi="仿宋" w:eastAsia="仿宋" w:cs="仿宋"/>
          <w:sz w:val="31"/>
          <w:szCs w:val="31"/>
        </w:rPr>
      </w:pPr>
      <w:r>
        <w:rPr>
          <w:rFonts w:ascii="仿宋" w:hAnsi="仿宋" w:eastAsia="仿宋" w:cs="仿宋"/>
          <w:spacing w:val="7"/>
          <w:sz w:val="31"/>
          <w:szCs w:val="31"/>
        </w:rPr>
        <w:t>七、政府性基金预算财政拨款收入支出决算表</w:t>
      </w:r>
    </w:p>
    <w:p w14:paraId="09B3D466">
      <w:pPr>
        <w:spacing w:before="252" w:line="223" w:lineRule="auto"/>
        <w:ind w:left="34"/>
        <w:rPr>
          <w:rFonts w:ascii="仿宋" w:hAnsi="仿宋" w:eastAsia="仿宋" w:cs="仿宋"/>
          <w:sz w:val="31"/>
          <w:szCs w:val="31"/>
        </w:rPr>
      </w:pPr>
      <w:r>
        <w:rPr>
          <w:rFonts w:ascii="仿宋" w:hAnsi="仿宋" w:eastAsia="仿宋" w:cs="仿宋"/>
          <w:spacing w:val="5"/>
          <w:sz w:val="31"/>
          <w:szCs w:val="31"/>
        </w:rPr>
        <w:t>八、</w:t>
      </w:r>
      <w:r>
        <w:rPr>
          <w:rFonts w:ascii="仿宋" w:hAnsi="仿宋" w:eastAsia="仿宋" w:cs="仿宋"/>
          <w:spacing w:val="-82"/>
          <w:sz w:val="31"/>
          <w:szCs w:val="31"/>
        </w:rPr>
        <w:t xml:space="preserve"> </w:t>
      </w:r>
      <w:r>
        <w:rPr>
          <w:rFonts w:ascii="仿宋" w:hAnsi="仿宋" w:eastAsia="仿宋" w:cs="仿宋"/>
          <w:spacing w:val="5"/>
          <w:sz w:val="31"/>
          <w:szCs w:val="31"/>
        </w:rPr>
        <w:t>国有资本经营预算财政拨款支出决算表</w:t>
      </w:r>
    </w:p>
    <w:p w14:paraId="745B23D4">
      <w:pPr>
        <w:spacing w:before="249" w:line="223" w:lineRule="auto"/>
        <w:ind w:left="47"/>
        <w:rPr>
          <w:rFonts w:ascii="仿宋" w:hAnsi="仿宋" w:eastAsia="仿宋" w:cs="仿宋"/>
          <w:sz w:val="31"/>
          <w:szCs w:val="31"/>
        </w:rPr>
      </w:pPr>
      <w:r>
        <w:rPr>
          <w:rFonts w:ascii="仿宋" w:hAnsi="仿宋" w:eastAsia="仿宋" w:cs="仿宋"/>
          <w:spacing w:val="8"/>
          <w:sz w:val="31"/>
          <w:szCs w:val="31"/>
        </w:rPr>
        <w:t>九、财政拨款“三公”经费支出决算表</w:t>
      </w:r>
    </w:p>
    <w:p w14:paraId="33EDC6F1">
      <w:pPr>
        <w:spacing w:before="250" w:line="223" w:lineRule="auto"/>
        <w:ind w:left="44"/>
        <w:rPr>
          <w:rFonts w:ascii="仿宋" w:hAnsi="仿宋" w:eastAsia="仿宋" w:cs="仿宋"/>
          <w:sz w:val="31"/>
          <w:szCs w:val="31"/>
        </w:rPr>
      </w:pPr>
      <w:r>
        <w:rPr>
          <w:rFonts w:ascii="仿宋" w:hAnsi="仿宋" w:eastAsia="仿宋" w:cs="仿宋"/>
          <w:spacing w:val="6"/>
          <w:sz w:val="31"/>
          <w:szCs w:val="31"/>
        </w:rPr>
        <w:t>十、部门预算项目支出绩效自评表</w:t>
      </w:r>
    </w:p>
    <w:p w14:paraId="6E6A8A71">
      <w:pPr>
        <w:spacing w:before="249" w:line="223" w:lineRule="auto"/>
        <w:ind w:left="49"/>
        <w:outlineLvl w:val="1"/>
        <w:rPr>
          <w:rFonts w:ascii="仿宋" w:hAnsi="仿宋" w:eastAsia="仿宋" w:cs="仿宋"/>
          <w:sz w:val="31"/>
          <w:szCs w:val="31"/>
        </w:rPr>
      </w:pPr>
      <w:r>
        <w:rPr>
          <w:rFonts w:ascii="仿宋" w:hAnsi="仿宋" w:eastAsia="仿宋" w:cs="仿宋"/>
          <w:b/>
          <w:bCs/>
          <w:spacing w:val="3"/>
          <w:sz w:val="31"/>
          <w:szCs w:val="31"/>
        </w:rPr>
        <w:t>第三部分</w:t>
      </w:r>
      <w:r>
        <w:rPr>
          <w:rFonts w:ascii="仿宋" w:hAnsi="仿宋" w:eastAsia="仿宋" w:cs="仿宋"/>
          <w:spacing w:val="3"/>
          <w:sz w:val="31"/>
          <w:szCs w:val="31"/>
        </w:rPr>
        <w:t xml:space="preserve">  </w:t>
      </w:r>
      <w:r>
        <w:rPr>
          <w:rFonts w:ascii="宋体" w:hAnsi="宋体" w:eastAsia="宋体" w:cs="宋体"/>
          <w:b/>
          <w:bCs/>
          <w:spacing w:val="3"/>
          <w:sz w:val="31"/>
          <w:szCs w:val="31"/>
        </w:rPr>
        <w:t>2023</w:t>
      </w:r>
      <w:r>
        <w:rPr>
          <w:rFonts w:ascii="宋体" w:hAnsi="宋体" w:eastAsia="宋体" w:cs="宋体"/>
          <w:spacing w:val="-37"/>
          <w:sz w:val="31"/>
          <w:szCs w:val="31"/>
        </w:rPr>
        <w:t xml:space="preserve"> </w:t>
      </w:r>
      <w:r>
        <w:rPr>
          <w:rFonts w:ascii="仿宋" w:hAnsi="仿宋" w:eastAsia="仿宋" w:cs="仿宋"/>
          <w:b/>
          <w:bCs/>
          <w:spacing w:val="3"/>
          <w:sz w:val="31"/>
          <w:szCs w:val="31"/>
        </w:rPr>
        <w:t>年度部门决算情况说明</w:t>
      </w:r>
    </w:p>
    <w:p w14:paraId="31151D8B">
      <w:pPr>
        <w:spacing w:before="250" w:line="223" w:lineRule="auto"/>
        <w:ind w:left="40"/>
        <w:rPr>
          <w:rFonts w:ascii="仿宋" w:hAnsi="仿宋" w:eastAsia="仿宋" w:cs="仿宋"/>
          <w:sz w:val="31"/>
          <w:szCs w:val="31"/>
        </w:rPr>
      </w:pPr>
      <w:r>
        <w:rPr>
          <w:rFonts w:ascii="仿宋" w:hAnsi="仿宋" w:eastAsia="仿宋" w:cs="仿宋"/>
          <w:spacing w:val="5"/>
          <w:sz w:val="31"/>
          <w:szCs w:val="31"/>
        </w:rPr>
        <w:t>一、收入支出决算总体情况说明</w:t>
      </w:r>
    </w:p>
    <w:p w14:paraId="043E0260">
      <w:pPr>
        <w:spacing w:before="250" w:line="223" w:lineRule="auto"/>
        <w:ind w:left="45"/>
        <w:rPr>
          <w:rFonts w:ascii="仿宋" w:hAnsi="仿宋" w:eastAsia="仿宋" w:cs="仿宋"/>
          <w:sz w:val="31"/>
          <w:szCs w:val="31"/>
        </w:rPr>
      </w:pPr>
      <w:r>
        <w:rPr>
          <w:rFonts w:ascii="仿宋" w:hAnsi="仿宋" w:eastAsia="仿宋" w:cs="仿宋"/>
          <w:spacing w:val="6"/>
          <w:sz w:val="31"/>
          <w:szCs w:val="31"/>
        </w:rPr>
        <w:t>二、收入决算情况说明</w:t>
      </w:r>
    </w:p>
    <w:p w14:paraId="77196B1C">
      <w:pPr>
        <w:spacing w:before="250" w:line="223" w:lineRule="auto"/>
        <w:ind w:left="44"/>
        <w:rPr>
          <w:rFonts w:ascii="仿宋" w:hAnsi="仿宋" w:eastAsia="仿宋" w:cs="仿宋"/>
          <w:sz w:val="31"/>
          <w:szCs w:val="31"/>
        </w:rPr>
      </w:pPr>
      <w:r>
        <w:rPr>
          <w:rFonts w:ascii="仿宋" w:hAnsi="仿宋" w:eastAsia="仿宋" w:cs="仿宋"/>
          <w:spacing w:val="6"/>
          <w:sz w:val="31"/>
          <w:szCs w:val="31"/>
        </w:rPr>
        <w:t>三、支出决算情况说明</w:t>
      </w:r>
    </w:p>
    <w:p w14:paraId="3A11DF88">
      <w:pPr>
        <w:spacing w:before="249" w:line="223" w:lineRule="auto"/>
        <w:ind w:left="73"/>
        <w:rPr>
          <w:rFonts w:ascii="仿宋" w:hAnsi="仿宋" w:eastAsia="仿宋" w:cs="仿宋"/>
          <w:sz w:val="31"/>
          <w:szCs w:val="31"/>
        </w:rPr>
      </w:pPr>
      <w:r>
        <w:rPr>
          <w:rFonts w:ascii="仿宋" w:hAnsi="仿宋" w:eastAsia="仿宋" w:cs="仿宋"/>
          <w:spacing w:val="6"/>
          <w:sz w:val="31"/>
          <w:szCs w:val="31"/>
        </w:rPr>
        <w:t>四、财政拨款收入支出决算总体情况说明</w:t>
      </w:r>
    </w:p>
    <w:p w14:paraId="507B822E">
      <w:pPr>
        <w:spacing w:line="223" w:lineRule="auto"/>
        <w:rPr>
          <w:rFonts w:ascii="仿宋" w:hAnsi="仿宋" w:eastAsia="仿宋" w:cs="仿宋"/>
          <w:sz w:val="31"/>
          <w:szCs w:val="31"/>
        </w:rPr>
        <w:sectPr>
          <w:footerReference r:id="rId6" w:type="default"/>
          <w:pgSz w:w="11907" w:h="16839"/>
          <w:pgMar w:top="1431" w:right="1785" w:bottom="1153" w:left="1785" w:header="0" w:footer="965" w:gutter="0"/>
          <w:pgNumType w:fmt="decimal"/>
          <w:cols w:space="720" w:num="1"/>
        </w:sectPr>
      </w:pPr>
    </w:p>
    <w:p w14:paraId="0B6E5497">
      <w:pPr>
        <w:spacing w:before="159" w:line="223" w:lineRule="auto"/>
        <w:ind w:left="40"/>
        <w:rPr>
          <w:rFonts w:ascii="仿宋" w:hAnsi="仿宋" w:eastAsia="仿宋" w:cs="仿宋"/>
          <w:sz w:val="31"/>
          <w:szCs w:val="31"/>
        </w:rPr>
      </w:pPr>
      <w:r>
        <w:rPr>
          <w:rFonts w:ascii="仿宋" w:hAnsi="仿宋" w:eastAsia="仿宋" w:cs="仿宋"/>
          <w:spacing w:val="8"/>
          <w:sz w:val="31"/>
          <w:szCs w:val="31"/>
        </w:rPr>
        <w:t>五、一般公共预算财政拨款支出决算情况说明</w:t>
      </w:r>
    </w:p>
    <w:p w14:paraId="5FF5F667">
      <w:pPr>
        <w:spacing w:before="249" w:line="223" w:lineRule="auto"/>
        <w:ind w:left="38"/>
        <w:rPr>
          <w:rFonts w:ascii="仿宋" w:hAnsi="仿宋" w:eastAsia="仿宋" w:cs="仿宋"/>
          <w:sz w:val="31"/>
          <w:szCs w:val="31"/>
        </w:rPr>
      </w:pPr>
      <w:r>
        <w:rPr>
          <w:rFonts w:ascii="仿宋" w:hAnsi="仿宋" w:eastAsia="仿宋" w:cs="仿宋"/>
          <w:spacing w:val="8"/>
          <w:sz w:val="31"/>
          <w:szCs w:val="31"/>
        </w:rPr>
        <w:t>六、一般公共预算财政拨款基本支出决算情况说明</w:t>
      </w:r>
    </w:p>
    <w:p w14:paraId="6240C6D3">
      <w:pPr>
        <w:spacing w:before="250" w:line="221" w:lineRule="auto"/>
        <w:ind w:left="41"/>
        <w:rPr>
          <w:rFonts w:ascii="仿宋" w:hAnsi="仿宋" w:eastAsia="仿宋" w:cs="仿宋"/>
          <w:sz w:val="31"/>
          <w:szCs w:val="31"/>
        </w:rPr>
      </w:pPr>
      <w:r>
        <w:rPr>
          <w:rFonts w:ascii="仿宋" w:hAnsi="仿宋" w:eastAsia="仿宋" w:cs="仿宋"/>
          <w:spacing w:val="8"/>
          <w:sz w:val="31"/>
          <w:szCs w:val="31"/>
        </w:rPr>
        <w:t>七、政府性基金预算财政拨款收入支出决算情况说明</w:t>
      </w:r>
    </w:p>
    <w:p w14:paraId="132FFB4E">
      <w:pPr>
        <w:spacing w:before="251" w:line="223" w:lineRule="auto"/>
        <w:ind w:left="34"/>
        <w:rPr>
          <w:rFonts w:ascii="仿宋" w:hAnsi="仿宋" w:eastAsia="仿宋" w:cs="仿宋"/>
          <w:sz w:val="31"/>
          <w:szCs w:val="31"/>
        </w:rPr>
      </w:pPr>
      <w:r>
        <w:rPr>
          <w:rFonts w:ascii="仿宋" w:hAnsi="仿宋" w:eastAsia="仿宋" w:cs="仿宋"/>
          <w:spacing w:val="6"/>
          <w:sz w:val="31"/>
          <w:szCs w:val="31"/>
        </w:rPr>
        <w:t>八、</w:t>
      </w:r>
      <w:r>
        <w:rPr>
          <w:rFonts w:ascii="仿宋" w:hAnsi="仿宋" w:eastAsia="仿宋" w:cs="仿宋"/>
          <w:spacing w:val="-91"/>
          <w:sz w:val="31"/>
          <w:szCs w:val="31"/>
        </w:rPr>
        <w:t xml:space="preserve"> </w:t>
      </w:r>
      <w:r>
        <w:rPr>
          <w:rFonts w:ascii="仿宋" w:hAnsi="仿宋" w:eastAsia="仿宋" w:cs="仿宋"/>
          <w:spacing w:val="6"/>
          <w:sz w:val="31"/>
          <w:szCs w:val="31"/>
        </w:rPr>
        <w:t>国有资本经营预算财政拨款支出决算情况说明</w:t>
      </w:r>
    </w:p>
    <w:p w14:paraId="3A0EABCC">
      <w:pPr>
        <w:spacing w:before="250" w:line="223" w:lineRule="auto"/>
        <w:ind w:left="47"/>
        <w:rPr>
          <w:rFonts w:ascii="仿宋" w:hAnsi="仿宋" w:eastAsia="仿宋" w:cs="仿宋"/>
          <w:sz w:val="31"/>
          <w:szCs w:val="31"/>
        </w:rPr>
      </w:pPr>
      <w:r>
        <w:rPr>
          <w:rFonts w:ascii="仿宋" w:hAnsi="仿宋" w:eastAsia="仿宋" w:cs="仿宋"/>
          <w:spacing w:val="8"/>
          <w:sz w:val="31"/>
          <w:szCs w:val="31"/>
        </w:rPr>
        <w:t>九、财政拨款“三公”经费支出决算情况说明</w:t>
      </w:r>
    </w:p>
    <w:p w14:paraId="37D5D3B4">
      <w:pPr>
        <w:spacing w:before="249" w:line="224" w:lineRule="auto"/>
        <w:ind w:left="44"/>
        <w:rPr>
          <w:rFonts w:ascii="仿宋" w:hAnsi="仿宋" w:eastAsia="仿宋" w:cs="仿宋"/>
          <w:sz w:val="31"/>
          <w:szCs w:val="31"/>
        </w:rPr>
      </w:pPr>
      <w:r>
        <w:rPr>
          <w:rFonts w:ascii="仿宋" w:hAnsi="仿宋" w:eastAsia="仿宋" w:cs="仿宋"/>
          <w:spacing w:val="6"/>
          <w:sz w:val="31"/>
          <w:szCs w:val="31"/>
        </w:rPr>
        <w:t>十、绩效评价情况说明</w:t>
      </w:r>
    </w:p>
    <w:p w14:paraId="2E68B39A">
      <w:pPr>
        <w:spacing w:before="248" w:line="223" w:lineRule="auto"/>
        <w:ind w:left="44"/>
        <w:rPr>
          <w:rFonts w:ascii="仿宋" w:hAnsi="仿宋" w:eastAsia="仿宋" w:cs="仿宋"/>
          <w:sz w:val="31"/>
          <w:szCs w:val="31"/>
        </w:rPr>
      </w:pPr>
      <w:r>
        <w:rPr>
          <w:rFonts w:ascii="仿宋" w:hAnsi="仿宋" w:eastAsia="仿宋" w:cs="仿宋"/>
          <w:spacing w:val="7"/>
          <w:sz w:val="31"/>
          <w:szCs w:val="31"/>
        </w:rPr>
        <w:t>十一、其他重要事项情况说明</w:t>
      </w:r>
    </w:p>
    <w:p w14:paraId="45396EFA">
      <w:pPr>
        <w:spacing w:before="250" w:line="224" w:lineRule="auto"/>
        <w:ind w:left="49"/>
        <w:rPr>
          <w:rFonts w:ascii="仿宋" w:hAnsi="仿宋" w:eastAsia="仿宋" w:cs="仿宋"/>
          <w:sz w:val="31"/>
          <w:szCs w:val="31"/>
        </w:rPr>
      </w:pPr>
      <w:r>
        <w:rPr>
          <w:rFonts w:ascii="仿宋" w:hAnsi="仿宋" w:eastAsia="仿宋" w:cs="仿宋"/>
          <w:b/>
          <w:bCs/>
          <w:sz w:val="31"/>
          <w:szCs w:val="31"/>
        </w:rPr>
        <w:t>第四部分</w:t>
      </w:r>
      <w:r>
        <w:rPr>
          <w:rFonts w:ascii="仿宋" w:hAnsi="仿宋" w:eastAsia="仿宋" w:cs="仿宋"/>
          <w:spacing w:val="18"/>
          <w:sz w:val="31"/>
          <w:szCs w:val="31"/>
        </w:rPr>
        <w:t xml:space="preserve">  </w:t>
      </w:r>
      <w:r>
        <w:rPr>
          <w:rFonts w:ascii="仿宋" w:hAnsi="仿宋" w:eastAsia="仿宋" w:cs="仿宋"/>
          <w:b/>
          <w:bCs/>
          <w:sz w:val="31"/>
          <w:szCs w:val="31"/>
        </w:rPr>
        <w:t>名词解释</w:t>
      </w:r>
    </w:p>
    <w:p w14:paraId="4B000083">
      <w:pPr>
        <w:spacing w:line="224" w:lineRule="auto"/>
        <w:rPr>
          <w:rFonts w:ascii="仿宋" w:hAnsi="仿宋" w:eastAsia="仿宋" w:cs="仿宋"/>
          <w:sz w:val="31"/>
          <w:szCs w:val="31"/>
        </w:rPr>
        <w:sectPr>
          <w:footerReference r:id="rId7" w:type="default"/>
          <w:pgSz w:w="11907" w:h="16839"/>
          <w:pgMar w:top="1431" w:right="1785" w:bottom="1153" w:left="1785" w:header="0" w:footer="965" w:gutter="0"/>
          <w:pgNumType w:fmt="decimal"/>
          <w:cols w:space="720" w:num="1"/>
        </w:sectPr>
      </w:pPr>
    </w:p>
    <w:p w14:paraId="2902F773">
      <w:pPr>
        <w:spacing w:before="189" w:line="443" w:lineRule="exact"/>
        <w:ind w:left="2215"/>
        <w:outlineLvl w:val="0"/>
        <w:rPr>
          <w:rFonts w:ascii="微软雅黑" w:hAnsi="微软雅黑" w:eastAsia="微软雅黑" w:cs="微软雅黑"/>
          <w:sz w:val="44"/>
          <w:szCs w:val="44"/>
        </w:rPr>
      </w:pPr>
      <w:r>
        <w:rPr>
          <w:rFonts w:ascii="微软雅黑" w:hAnsi="微软雅黑" w:eastAsia="微软雅黑" w:cs="微软雅黑"/>
          <w:spacing w:val="1"/>
          <w:position w:val="-2"/>
          <w:sz w:val="44"/>
          <w:szCs w:val="44"/>
        </w:rPr>
        <w:t>第一部分</w:t>
      </w:r>
      <w:r>
        <w:rPr>
          <w:rFonts w:ascii="微软雅黑" w:hAnsi="微软雅黑" w:eastAsia="微软雅黑" w:cs="微软雅黑"/>
          <w:spacing w:val="14"/>
          <w:position w:val="-2"/>
          <w:sz w:val="44"/>
          <w:szCs w:val="44"/>
        </w:rPr>
        <w:t xml:space="preserve">   </w:t>
      </w:r>
      <w:r>
        <w:rPr>
          <w:rFonts w:ascii="微软雅黑" w:hAnsi="微软雅黑" w:eastAsia="微软雅黑" w:cs="微软雅黑"/>
          <w:spacing w:val="1"/>
          <w:position w:val="-2"/>
          <w:sz w:val="44"/>
          <w:szCs w:val="44"/>
        </w:rPr>
        <w:t>部门概况</w:t>
      </w:r>
    </w:p>
    <w:p w14:paraId="705A5282">
      <w:pPr>
        <w:pStyle w:val="2"/>
        <w:spacing w:line="314" w:lineRule="auto"/>
      </w:pPr>
    </w:p>
    <w:p w14:paraId="20C2324E">
      <w:pPr>
        <w:pStyle w:val="2"/>
        <w:spacing w:line="314" w:lineRule="auto"/>
      </w:pPr>
    </w:p>
    <w:p w14:paraId="0E3E8C9C">
      <w:pPr>
        <w:pStyle w:val="2"/>
        <w:spacing w:line="315" w:lineRule="auto"/>
      </w:pPr>
    </w:p>
    <w:p w14:paraId="64E0301D">
      <w:pPr>
        <w:spacing w:before="101" w:line="224" w:lineRule="auto"/>
        <w:ind w:left="751"/>
        <w:rPr>
          <w:rFonts w:ascii="黑体" w:hAnsi="黑体" w:eastAsia="黑体" w:cs="黑体"/>
          <w:sz w:val="32"/>
          <w:szCs w:val="32"/>
        </w:rPr>
      </w:pPr>
      <w:r>
        <w:rPr>
          <w:rFonts w:ascii="黑体" w:hAnsi="黑体" w:eastAsia="黑体" w:cs="黑体"/>
          <w:spacing w:val="7"/>
          <w:sz w:val="32"/>
          <w:szCs w:val="32"/>
        </w:rPr>
        <w:t>一、部门主要职责</w:t>
      </w:r>
    </w:p>
    <w:p w14:paraId="48786DB3">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（一）负责全区财政预算安排，建立健全街乡及开发区财政管理体制，确保财政收支平衡。</w:t>
      </w:r>
    </w:p>
    <w:p w14:paraId="3E57100B">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（二）负责组织全区财政收入及区属企业专项资金的申报及财务报表的管理与汇总。</w:t>
      </w:r>
    </w:p>
    <w:p w14:paraId="696B469F">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（三）负责全区的农业财务管理。</w:t>
      </w:r>
    </w:p>
    <w:p w14:paraId="23BA0407">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（四）负责全区政府非税收入管理，拟订政府非税收入管理的有关制度和政策；负责政府性基金管理；按规定管理行政事业性收费；管理财政票据。</w:t>
      </w:r>
    </w:p>
    <w:p w14:paraId="0DEB4C94">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（五）负责全区社会保障资金和就业及医疗卫生资金的使用和管理工作。</w:t>
      </w:r>
    </w:p>
    <w:p w14:paraId="59B48DC3">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（六）负责管理全区的会计工作。监督和规范会计行为，组织实施国家统一的会计师制度；组织全区财会队伍的培训、会计达标工作。</w:t>
      </w:r>
    </w:p>
    <w:p w14:paraId="359F0BD0">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（七）负责拟订区级行政事业单位国有资产管理规章制度，管理行政事业单位国有资产；</w:t>
      </w:r>
    </w:p>
    <w:p w14:paraId="7DA4F59F">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（八）负责全区的基本建设投资及财务管理工作。</w:t>
      </w:r>
    </w:p>
    <w:p w14:paraId="01D36C41">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（九）负责本级财政性资金的集中采购和招标组织工作。</w:t>
      </w:r>
    </w:p>
    <w:p w14:paraId="323D8EC8">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（十）负责全区行政事业单位工资统一发放工作。</w:t>
      </w:r>
    </w:p>
    <w:p w14:paraId="65E730B5">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（十一）负责市财政局对我区下放的城市维护建设资金收支计划及资金的分配、监督管理；负责全区住房资金的管理和监督。</w:t>
      </w:r>
    </w:p>
    <w:p w14:paraId="48973532">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（十二）负责管理下属事业单位(工资统一发放管理中心、政府采购中心、行政事业单位国有资产管理中心、国库支付中心、税源服务中心)。</w:t>
      </w:r>
    </w:p>
    <w:p w14:paraId="5E4622A5">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r>
        <w:rPr>
          <w:rFonts w:hint="eastAsia" w:ascii="仿宋_GB2312" w:hAnsi="仿宋_GB2312" w:eastAsia="仿宋_GB2312" w:cs="仿宋_GB2312"/>
          <w:spacing w:val="-8"/>
          <w:position w:val="-13"/>
          <w:sz w:val="32"/>
          <w:szCs w:val="32"/>
        </w:rPr>
        <w:t>（十三）承办区政府交办的其他事项。</w:t>
      </w:r>
    </w:p>
    <w:p w14:paraId="5A7D1631">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p>
    <w:p w14:paraId="557AD362">
      <w:pPr>
        <w:keepNext w:val="0"/>
        <w:keepLines w:val="0"/>
        <w:pageBreakBefore w:val="0"/>
        <w:widowControl/>
        <w:kinsoku/>
        <w:wordWrap/>
        <w:overflowPunct w:val="0"/>
        <w:topLinePunct w:val="0"/>
        <w:autoSpaceDE w:val="0"/>
        <w:autoSpaceDN w:val="0"/>
        <w:bidi w:val="0"/>
        <w:adjustRightInd w:val="0"/>
        <w:snapToGrid w:val="0"/>
        <w:spacing w:line="240" w:lineRule="auto"/>
        <w:ind w:left="0" w:firstLine="608" w:firstLineChars="200"/>
        <w:textAlignment w:val="baseline"/>
        <w:rPr>
          <w:rFonts w:hint="eastAsia" w:ascii="仿宋_GB2312" w:hAnsi="仿宋_GB2312" w:eastAsia="仿宋_GB2312" w:cs="仿宋_GB2312"/>
          <w:spacing w:val="-8"/>
          <w:position w:val="-13"/>
          <w:sz w:val="32"/>
          <w:szCs w:val="32"/>
        </w:rPr>
      </w:pPr>
    </w:p>
    <w:p w14:paraId="22118B54">
      <w:pPr>
        <w:keepNext w:val="0"/>
        <w:keepLines w:val="0"/>
        <w:pageBreakBefore w:val="0"/>
        <w:widowControl/>
        <w:kinsoku/>
        <w:wordWrap/>
        <w:overflowPunct w:val="0"/>
        <w:topLinePunct w:val="0"/>
        <w:autoSpaceDE w:val="0"/>
        <w:autoSpaceDN w:val="0"/>
        <w:bidi w:val="0"/>
        <w:adjustRightInd w:val="0"/>
        <w:snapToGrid w:val="0"/>
        <w:spacing w:before="251" w:line="240" w:lineRule="auto"/>
        <w:ind w:left="672"/>
        <w:textAlignment w:val="baseline"/>
        <w:rPr>
          <w:rFonts w:hint="eastAsia" w:ascii="黑体" w:hAnsi="黑体" w:eastAsia="黑体" w:cs="黑体"/>
          <w:spacing w:val="8"/>
          <w:sz w:val="32"/>
          <w:szCs w:val="32"/>
        </w:rPr>
        <w:sectPr>
          <w:footerReference r:id="rId8" w:type="default"/>
          <w:pgSz w:w="11907" w:h="16839"/>
          <w:pgMar w:top="1431" w:right="1785" w:bottom="1153" w:left="1785" w:header="0" w:footer="965" w:gutter="0"/>
          <w:pgNumType w:fmt="decimal" w:start="1"/>
          <w:cols w:space="720" w:num="1"/>
        </w:sectPr>
      </w:pPr>
    </w:p>
    <w:p w14:paraId="16E1ADB5">
      <w:pPr>
        <w:keepNext w:val="0"/>
        <w:keepLines w:val="0"/>
        <w:pageBreakBefore w:val="0"/>
        <w:widowControl/>
        <w:kinsoku/>
        <w:wordWrap/>
        <w:overflowPunct w:val="0"/>
        <w:topLinePunct w:val="0"/>
        <w:autoSpaceDE w:val="0"/>
        <w:autoSpaceDN w:val="0"/>
        <w:bidi w:val="0"/>
        <w:adjustRightInd w:val="0"/>
        <w:snapToGrid w:val="0"/>
        <w:spacing w:before="251" w:line="240" w:lineRule="auto"/>
        <w:ind w:left="672"/>
        <w:textAlignment w:val="baseline"/>
        <w:rPr>
          <w:rFonts w:hint="eastAsia" w:ascii="黑体" w:hAnsi="黑体" w:eastAsia="黑体" w:cs="黑体"/>
          <w:sz w:val="32"/>
          <w:szCs w:val="32"/>
        </w:rPr>
      </w:pPr>
      <w:r>
        <w:rPr>
          <w:rFonts w:hint="eastAsia" w:ascii="黑体" w:hAnsi="黑体" w:eastAsia="黑体" w:cs="黑体"/>
          <w:spacing w:val="8"/>
          <w:sz w:val="32"/>
          <w:szCs w:val="32"/>
        </w:rPr>
        <w:t>二、机构设置及部门决算单位构成</w:t>
      </w:r>
    </w:p>
    <w:p w14:paraId="06110485">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664" w:firstLineChars="20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根据上述职责，长春市南关区财政局内设7个机构，分别为办公室、预算管理科、文教行财科、国有资产管理科、非税收入管理科、社会保障科、采购办公室。</w:t>
      </w:r>
    </w:p>
    <w:p w14:paraId="28C5FA16">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664" w:firstLineChars="20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纳入长春市南关区财政局2024年度部门预算编制范围的单位包括：</w:t>
      </w:r>
    </w:p>
    <w:p w14:paraId="325CD452">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500" w:firstLineChars="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1. 长春市南关区财政局（本级）</w:t>
      </w:r>
    </w:p>
    <w:p w14:paraId="302A001A">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500" w:firstLineChars="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2. 长春市南关区行政事业单位国有资产管理中心</w:t>
      </w:r>
    </w:p>
    <w:p w14:paraId="5E9B8675">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500" w:firstLineChars="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3. 长春市南关区国库支付中心</w:t>
      </w:r>
    </w:p>
    <w:p w14:paraId="6B65EA40">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500" w:firstLineChars="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4. 长春市南关区税源服务中心</w:t>
      </w:r>
    </w:p>
    <w:p w14:paraId="6719CF7C">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500" w:firstLineChars="0"/>
        <w:textAlignment w:val="baseline"/>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6"/>
          <w:sz w:val="32"/>
          <w:szCs w:val="32"/>
        </w:rPr>
        <w:t>5. 长春市南关区工资统一发放管理中心</w:t>
      </w:r>
    </w:p>
    <w:p w14:paraId="00B2C791">
      <w:pPr>
        <w:pStyle w:val="2"/>
        <w:keepNext w:val="0"/>
        <w:keepLines w:val="0"/>
        <w:pageBreakBefore w:val="0"/>
        <w:widowControl/>
        <w:kinsoku/>
        <w:wordWrap/>
        <w:overflowPunct w:val="0"/>
        <w:topLinePunct w:val="0"/>
        <w:autoSpaceDE w:val="0"/>
        <w:autoSpaceDN w:val="0"/>
        <w:bidi w:val="0"/>
        <w:adjustRightInd w:val="0"/>
        <w:snapToGrid w:val="0"/>
        <w:spacing w:line="240" w:lineRule="auto"/>
        <w:ind w:firstLine="500" w:firstLineChars="0"/>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pacing w:val="6"/>
          <w:sz w:val="32"/>
          <w:szCs w:val="32"/>
        </w:rPr>
        <w:t>6. 长春市南关区政府采购中心</w:t>
      </w:r>
    </w:p>
    <w:p w14:paraId="1CE14017">
      <w:pPr>
        <w:keepNext w:val="0"/>
        <w:keepLines w:val="0"/>
        <w:pageBreakBefore w:val="0"/>
        <w:widowControl/>
        <w:kinsoku/>
        <w:wordWrap/>
        <w:overflowPunct w:val="0"/>
        <w:topLinePunct w:val="0"/>
        <w:autoSpaceDE w:val="0"/>
        <w:autoSpaceDN w:val="0"/>
        <w:bidi w:val="0"/>
        <w:adjustRightInd w:val="0"/>
        <w:snapToGrid w:val="0"/>
        <w:spacing w:line="240" w:lineRule="auto"/>
        <w:textAlignment w:val="baseline"/>
        <w:rPr>
          <w:rFonts w:hint="eastAsia" w:ascii="仿宋_GB2312" w:hAnsi="仿宋_GB2312" w:eastAsia="仿宋_GB2312" w:cs="仿宋_GB2312"/>
          <w:sz w:val="32"/>
          <w:szCs w:val="32"/>
        </w:rPr>
        <w:sectPr>
          <w:footerReference r:id="rId9" w:type="default"/>
          <w:pgSz w:w="11907" w:h="16839"/>
          <w:pgMar w:top="1431" w:right="1785" w:bottom="1153" w:left="1785" w:header="0" w:footer="965" w:gutter="0"/>
          <w:pgNumType w:fmt="decimal"/>
          <w:cols w:space="720" w:num="1"/>
        </w:sectPr>
      </w:pPr>
    </w:p>
    <w:p w14:paraId="400017D8">
      <w:pPr>
        <w:spacing w:before="189" w:line="186" w:lineRule="auto"/>
        <w:ind w:left="1142"/>
        <w:rPr>
          <w:rFonts w:ascii="微软雅黑" w:hAnsi="微软雅黑" w:eastAsia="微软雅黑" w:cs="微软雅黑"/>
          <w:sz w:val="44"/>
          <w:szCs w:val="44"/>
        </w:rPr>
      </w:pPr>
      <w:r>
        <w:rPr>
          <w:rFonts w:ascii="微软雅黑" w:hAnsi="微软雅黑" w:eastAsia="微软雅黑" w:cs="微软雅黑"/>
          <w:sz w:val="44"/>
          <w:szCs w:val="44"/>
        </w:rPr>
        <w:t>第二部分</w:t>
      </w:r>
      <w:r>
        <w:rPr>
          <w:rFonts w:ascii="微软雅黑" w:hAnsi="微软雅黑" w:eastAsia="微软雅黑" w:cs="微软雅黑"/>
          <w:spacing w:val="111"/>
          <w:sz w:val="44"/>
          <w:szCs w:val="44"/>
        </w:rPr>
        <w:t xml:space="preserve"> </w:t>
      </w:r>
      <w:r>
        <w:rPr>
          <w:rFonts w:ascii="宋体" w:hAnsi="宋体" w:eastAsia="宋体" w:cs="宋体"/>
          <w:sz w:val="43"/>
          <w:szCs w:val="43"/>
        </w:rPr>
        <w:t>2023</w:t>
      </w:r>
      <w:r>
        <w:rPr>
          <w:rFonts w:ascii="宋体" w:hAnsi="宋体" w:eastAsia="宋体" w:cs="宋体"/>
          <w:spacing w:val="-103"/>
          <w:sz w:val="43"/>
          <w:szCs w:val="43"/>
        </w:rPr>
        <w:t xml:space="preserve"> </w:t>
      </w:r>
      <w:r>
        <w:rPr>
          <w:rFonts w:ascii="微软雅黑" w:hAnsi="微软雅黑" w:eastAsia="微软雅黑" w:cs="微软雅黑"/>
          <w:sz w:val="44"/>
          <w:szCs w:val="44"/>
        </w:rPr>
        <w:t>年度部门决算表</w:t>
      </w:r>
    </w:p>
    <w:p w14:paraId="45C8E33C">
      <w:pPr>
        <w:pStyle w:val="2"/>
        <w:spacing w:line="268" w:lineRule="auto"/>
      </w:pPr>
    </w:p>
    <w:p w14:paraId="0C60CC56">
      <w:pPr>
        <w:pStyle w:val="2"/>
        <w:spacing w:line="268" w:lineRule="auto"/>
      </w:pPr>
    </w:p>
    <w:p w14:paraId="5B940092">
      <w:pPr>
        <w:pStyle w:val="2"/>
        <w:spacing w:line="268" w:lineRule="auto"/>
      </w:pPr>
    </w:p>
    <w:p w14:paraId="1E47C578">
      <w:pPr>
        <w:spacing w:before="100" w:line="224" w:lineRule="auto"/>
        <w:ind w:left="672"/>
        <w:rPr>
          <w:rFonts w:ascii="黑体" w:hAnsi="黑体" w:eastAsia="黑体" w:cs="黑体"/>
          <w:sz w:val="32"/>
          <w:szCs w:val="32"/>
        </w:rPr>
      </w:pPr>
      <w:r>
        <w:rPr>
          <w:rFonts w:ascii="黑体" w:hAnsi="黑体" w:eastAsia="黑体" w:cs="黑体"/>
          <w:spacing w:val="7"/>
          <w:sz w:val="32"/>
          <w:szCs w:val="32"/>
        </w:rPr>
        <w:t>一、收入支出决算总表</w:t>
      </w:r>
    </w:p>
    <w:p w14:paraId="3885F4B0">
      <w:pPr>
        <w:keepNext w:val="0"/>
        <w:keepLines w:val="0"/>
        <w:pageBreakBefore w:val="0"/>
        <w:widowControl/>
        <w:kinsoku w:val="0"/>
        <w:wordWrap/>
        <w:overflowPunct/>
        <w:topLinePunct w:val="0"/>
        <w:autoSpaceDE w:val="0"/>
        <w:autoSpaceDN w:val="0"/>
        <w:bidi w:val="0"/>
        <w:adjustRightInd w:val="0"/>
        <w:snapToGrid w:val="0"/>
        <w:spacing w:line="240" w:lineRule="auto"/>
        <w:ind w:firstLine="0"/>
        <w:textAlignment w:val="baseline"/>
        <w:rPr>
          <w:rFonts w:hint="eastAsia" w:eastAsia="宋体"/>
          <w:lang w:eastAsia="zh-CN"/>
        </w:rPr>
      </w:pPr>
      <w:r>
        <w:rPr>
          <w:rFonts w:hint="eastAsia" w:eastAsia="宋体"/>
          <w:lang w:eastAsia="zh-CN"/>
        </w:rPr>
        <w:drawing>
          <wp:inline distT="0" distB="0" distL="114300" distR="114300">
            <wp:extent cx="5288280" cy="4712335"/>
            <wp:effectExtent l="0" t="0" r="7620" b="12065"/>
            <wp:docPr id="1" name="图片 1" descr="E:/会计/工作2023/2023年决算公开/长春市南关区财政局_Z01 收入支出决算批复表(财决批复01表).jpg长春市南关区财政局_Z01 收入支出决算批复表(财决批复01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会计/工作2023/2023年决算公开/长春市南关区财政局_Z01 收入支出决算批复表(财决批复01表).jpg长春市南关区财政局_Z01 收入支出决算批复表(财决批复01表)"/>
                    <pic:cNvPicPr>
                      <a:picLocks noChangeAspect="1"/>
                    </pic:cNvPicPr>
                  </pic:nvPicPr>
                  <pic:blipFill>
                    <a:blip r:embed="rId18"/>
                    <a:srcRect l="7" r="7"/>
                    <a:stretch>
                      <a:fillRect/>
                    </a:stretch>
                  </pic:blipFill>
                  <pic:spPr>
                    <a:xfrm>
                      <a:off x="0" y="0"/>
                      <a:ext cx="5288280" cy="4712335"/>
                    </a:xfrm>
                    <a:prstGeom prst="rect">
                      <a:avLst/>
                    </a:prstGeom>
                  </pic:spPr>
                </pic:pic>
              </a:graphicData>
            </a:graphic>
          </wp:inline>
        </w:drawing>
      </w:r>
    </w:p>
    <w:p w14:paraId="205CD314">
      <w:pPr>
        <w:spacing w:before="101" w:line="224" w:lineRule="auto"/>
        <w:ind w:firstLine="668" w:firstLineChars="200"/>
        <w:rPr>
          <w:rFonts w:hint="eastAsia" w:eastAsia="宋体"/>
          <w:lang w:eastAsia="zh-CN"/>
        </w:rPr>
      </w:pPr>
      <w:r>
        <w:rPr>
          <w:rFonts w:ascii="黑体" w:hAnsi="黑体" w:eastAsia="黑体" w:cs="黑体"/>
          <w:spacing w:val="7"/>
          <w:sz w:val="32"/>
          <w:szCs w:val="32"/>
        </w:rPr>
        <w:t>二、收入决算表</w:t>
      </w:r>
      <w:r>
        <w:rPr>
          <w:rFonts w:hint="eastAsia" w:eastAsia="宋体"/>
          <w:lang w:eastAsia="zh-CN"/>
        </w:rPr>
        <w:drawing>
          <wp:inline distT="0" distB="0" distL="114300" distR="114300">
            <wp:extent cx="5278120" cy="2092325"/>
            <wp:effectExtent l="0" t="0" r="17780" b="3175"/>
            <wp:docPr id="2" name="图片 2" descr="E:/会计/工作2023/2023年决算公开/长春市南关区财政局_Z03 收入决算批复表(财决批复02表).jpg长春市南关区财政局_Z03 收入决算批复表(财决批复02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会计/工作2023/2023年决算公开/长春市南关区财政局_Z03 收入决算批复表(财决批复02表).jpg长春市南关区财政局_Z03 收入决算批复表(财决批复02表)"/>
                    <pic:cNvPicPr>
                      <a:picLocks noChangeAspect="1"/>
                    </pic:cNvPicPr>
                  </pic:nvPicPr>
                  <pic:blipFill>
                    <a:blip r:embed="rId19"/>
                    <a:srcRect t="6" b="6"/>
                    <a:stretch>
                      <a:fillRect/>
                    </a:stretch>
                  </pic:blipFill>
                  <pic:spPr>
                    <a:xfrm>
                      <a:off x="0" y="0"/>
                      <a:ext cx="5278120" cy="2092325"/>
                    </a:xfrm>
                    <a:prstGeom prst="rect">
                      <a:avLst/>
                    </a:prstGeom>
                  </pic:spPr>
                </pic:pic>
              </a:graphicData>
            </a:graphic>
          </wp:inline>
        </w:drawing>
      </w:r>
    </w:p>
    <w:p w14:paraId="6156EB14">
      <w:pPr>
        <w:pStyle w:val="2"/>
        <w:spacing w:line="261" w:lineRule="auto"/>
      </w:pPr>
    </w:p>
    <w:p w14:paraId="16B37332">
      <w:pPr>
        <w:pStyle w:val="2"/>
        <w:spacing w:line="261" w:lineRule="auto"/>
      </w:pPr>
    </w:p>
    <w:p w14:paraId="2C8AFD87">
      <w:pPr>
        <w:pStyle w:val="2"/>
        <w:spacing w:line="262" w:lineRule="auto"/>
      </w:pPr>
    </w:p>
    <w:p w14:paraId="0D7B11F2">
      <w:pPr>
        <w:spacing w:line="356" w:lineRule="auto"/>
        <w:rPr>
          <w:rFonts w:ascii="仿宋" w:hAnsi="仿宋" w:eastAsia="仿宋" w:cs="仿宋"/>
          <w:sz w:val="31"/>
          <w:szCs w:val="31"/>
        </w:rPr>
        <w:sectPr>
          <w:footerReference r:id="rId10" w:type="default"/>
          <w:pgSz w:w="11907" w:h="16839"/>
          <w:pgMar w:top="1431" w:right="1785" w:bottom="1153" w:left="1785" w:header="0" w:footer="965" w:gutter="0"/>
          <w:pgNumType w:fmt="decimal"/>
          <w:cols w:space="720" w:num="1"/>
        </w:sectPr>
      </w:pPr>
    </w:p>
    <w:p w14:paraId="451BB755">
      <w:pPr>
        <w:spacing w:before="101" w:line="224" w:lineRule="auto"/>
        <w:ind w:left="674"/>
        <w:rPr>
          <w:rFonts w:ascii="黑体" w:hAnsi="黑体" w:eastAsia="黑体" w:cs="黑体"/>
          <w:sz w:val="32"/>
          <w:szCs w:val="32"/>
        </w:rPr>
      </w:pPr>
      <w:r>
        <w:rPr>
          <w:rFonts w:ascii="黑体" w:hAnsi="黑体" w:eastAsia="黑体" w:cs="黑体"/>
          <w:spacing w:val="7"/>
          <w:sz w:val="32"/>
          <w:szCs w:val="32"/>
        </w:rPr>
        <w:t>三、支出决算表</w:t>
      </w:r>
    </w:p>
    <w:p w14:paraId="5A98117A">
      <w:pPr>
        <w:keepNext w:val="0"/>
        <w:keepLines w:val="0"/>
        <w:pageBreakBefore w:val="0"/>
        <w:widowControl/>
        <w:kinsoku w:val="0"/>
        <w:wordWrap/>
        <w:overflowPunct/>
        <w:topLinePunct w:val="0"/>
        <w:autoSpaceDE w:val="0"/>
        <w:autoSpaceDN w:val="0"/>
        <w:bidi w:val="0"/>
        <w:adjustRightInd w:val="0"/>
        <w:snapToGrid w:val="0"/>
        <w:spacing w:line="5960" w:lineRule="exact"/>
        <w:ind w:firstLine="0"/>
        <w:textAlignment w:val="baseline"/>
        <w:rPr>
          <w:rFonts w:hint="eastAsia" w:eastAsia="宋体"/>
          <w:lang w:eastAsia="zh-CN"/>
        </w:rPr>
      </w:pPr>
      <w:r>
        <w:rPr>
          <w:rFonts w:hint="eastAsia" w:eastAsia="宋体"/>
          <w:lang w:eastAsia="zh-CN"/>
        </w:rPr>
        <w:drawing>
          <wp:inline distT="0" distB="0" distL="114300" distR="114300">
            <wp:extent cx="5290185" cy="2535555"/>
            <wp:effectExtent l="0" t="0" r="5715" b="17145"/>
            <wp:docPr id="3" name="图片 3" descr="E:/会计/工作2023/2023年决算公开/长春市南关区财政局_Z04 支出决算批复表(财决批复03表).jpg长春市南关区财政局_Z04 支出决算批复表(财决批复03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会计/工作2023/2023年决算公开/长春市南关区财政局_Z04 支出决算批复表(财决批复03表).jpg长春市南关区财政局_Z04 支出决算批复表(财决批复03表)"/>
                    <pic:cNvPicPr>
                      <a:picLocks noChangeAspect="1"/>
                    </pic:cNvPicPr>
                  </pic:nvPicPr>
                  <pic:blipFill>
                    <a:blip r:embed="rId20"/>
                    <a:srcRect t="6" b="6"/>
                    <a:stretch>
                      <a:fillRect/>
                    </a:stretch>
                  </pic:blipFill>
                  <pic:spPr>
                    <a:xfrm>
                      <a:off x="0" y="0"/>
                      <a:ext cx="5290185" cy="2535555"/>
                    </a:xfrm>
                    <a:prstGeom prst="rect">
                      <a:avLst/>
                    </a:prstGeom>
                  </pic:spPr>
                </pic:pic>
              </a:graphicData>
            </a:graphic>
          </wp:inline>
        </w:drawing>
      </w:r>
    </w:p>
    <w:p w14:paraId="27858D81">
      <w:pPr>
        <w:spacing w:before="101" w:line="224" w:lineRule="auto"/>
        <w:rPr>
          <w:rFonts w:ascii="黑体" w:hAnsi="黑体" w:eastAsia="黑体" w:cs="黑体"/>
          <w:sz w:val="32"/>
          <w:szCs w:val="32"/>
        </w:rPr>
      </w:pPr>
      <w:r>
        <w:rPr>
          <w:rFonts w:ascii="黑体" w:hAnsi="黑体" w:eastAsia="黑体" w:cs="黑体"/>
          <w:spacing w:val="7"/>
          <w:sz w:val="32"/>
          <w:szCs w:val="32"/>
        </w:rPr>
        <w:t>四、财政拨款收入支出决算总表</w:t>
      </w:r>
    </w:p>
    <w:p w14:paraId="6EA7C622">
      <w:pPr>
        <w:spacing w:line="240" w:lineRule="auto"/>
        <w:ind w:firstLine="14"/>
        <w:rPr>
          <w:rFonts w:hint="eastAsia" w:eastAsia="宋体"/>
          <w:lang w:eastAsia="zh-CN"/>
        </w:rPr>
      </w:pPr>
      <w:r>
        <w:rPr>
          <w:rFonts w:hint="eastAsia" w:eastAsia="宋体"/>
          <w:lang w:eastAsia="zh-CN"/>
        </w:rPr>
        <w:drawing>
          <wp:inline distT="0" distB="0" distL="114300" distR="114300">
            <wp:extent cx="5279390" cy="4187825"/>
            <wp:effectExtent l="0" t="0" r="16510" b="3175"/>
            <wp:docPr id="4" name="图片 4" descr="E:/会计/工作2023/2023年决算公开/长春市南关区财政局_Z01_1 财政拨款收入支出决算批复表(财决批复04表).jpg长春市南关区财政局_Z01_1 财政拨款收入支出决算批复表(财决批复04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会计/工作2023/2023年决算公开/长春市南关区财政局_Z01_1 财政拨款收入支出决算批复表(财决批复04表).jpg长春市南关区财政局_Z01_1 财政拨款收入支出决算批复表(财决批复04表)"/>
                    <pic:cNvPicPr>
                      <a:picLocks noChangeAspect="1"/>
                    </pic:cNvPicPr>
                  </pic:nvPicPr>
                  <pic:blipFill>
                    <a:blip r:embed="rId21"/>
                    <a:srcRect l="8" r="8"/>
                    <a:stretch>
                      <a:fillRect/>
                    </a:stretch>
                  </pic:blipFill>
                  <pic:spPr>
                    <a:xfrm>
                      <a:off x="0" y="0"/>
                      <a:ext cx="5279390" cy="4187825"/>
                    </a:xfrm>
                    <a:prstGeom prst="rect">
                      <a:avLst/>
                    </a:prstGeom>
                  </pic:spPr>
                </pic:pic>
              </a:graphicData>
            </a:graphic>
          </wp:inline>
        </w:drawing>
      </w:r>
    </w:p>
    <w:p w14:paraId="0BB58A5C">
      <w:pPr>
        <w:pStyle w:val="2"/>
        <w:spacing w:line="273" w:lineRule="auto"/>
      </w:pPr>
    </w:p>
    <w:p w14:paraId="626AAD43">
      <w:pPr>
        <w:pStyle w:val="2"/>
        <w:spacing w:line="273" w:lineRule="auto"/>
      </w:pPr>
    </w:p>
    <w:p w14:paraId="0D855C5C">
      <w:pPr>
        <w:pStyle w:val="2"/>
        <w:spacing w:line="274" w:lineRule="auto"/>
      </w:pPr>
    </w:p>
    <w:p w14:paraId="4D9FC831">
      <w:pPr>
        <w:spacing w:before="100" w:line="224" w:lineRule="auto"/>
        <w:ind w:left="676"/>
        <w:rPr>
          <w:rFonts w:ascii="黑体" w:hAnsi="黑体" w:eastAsia="黑体" w:cs="黑体"/>
          <w:sz w:val="32"/>
          <w:szCs w:val="32"/>
        </w:rPr>
      </w:pPr>
      <w:r>
        <w:rPr>
          <w:rFonts w:ascii="黑体" w:hAnsi="黑体" w:eastAsia="黑体" w:cs="黑体"/>
          <w:spacing w:val="8"/>
          <w:sz w:val="32"/>
          <w:szCs w:val="32"/>
        </w:rPr>
        <w:t>五、一般公共预算财政拨款支出决算表</w:t>
      </w:r>
    </w:p>
    <w:p w14:paraId="30D5F22B">
      <w:pPr>
        <w:keepNext w:val="0"/>
        <w:keepLines w:val="0"/>
        <w:pageBreakBefore w:val="0"/>
        <w:widowControl/>
        <w:kinsoku w:val="0"/>
        <w:wordWrap/>
        <w:overflowPunct/>
        <w:topLinePunct w:val="0"/>
        <w:autoSpaceDE w:val="0"/>
        <w:autoSpaceDN w:val="0"/>
        <w:bidi w:val="0"/>
        <w:adjustRightInd w:val="0"/>
        <w:snapToGrid w:val="0"/>
        <w:spacing w:line="3302" w:lineRule="exact"/>
        <w:ind w:firstLine="0"/>
        <w:textAlignment w:val="baseline"/>
        <w:rPr>
          <w:rFonts w:hint="eastAsia" w:eastAsia="宋体"/>
          <w:lang w:eastAsia="zh-CN"/>
        </w:rPr>
      </w:pPr>
      <w:r>
        <w:rPr>
          <w:rFonts w:hint="eastAsia" w:eastAsia="宋体"/>
          <w:lang w:eastAsia="zh-CN"/>
        </w:rPr>
        <w:drawing>
          <wp:inline distT="0" distB="0" distL="114300" distR="114300">
            <wp:extent cx="5275580" cy="1522095"/>
            <wp:effectExtent l="0" t="0" r="1270" b="1905"/>
            <wp:docPr id="5" name="图片 5" descr="长春市南关区财政局_Z07 一般公共预算财政拨款收入支出决算批复表(财决批复05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长春市南关区财政局_Z07 一般公共预算财政拨款收入支出决算批复表(财决批复05表"/>
                    <pic:cNvPicPr>
                      <a:picLocks noChangeAspect="1"/>
                    </pic:cNvPicPr>
                  </pic:nvPicPr>
                  <pic:blipFill>
                    <a:blip r:embed="rId22"/>
                    <a:stretch>
                      <a:fillRect/>
                    </a:stretch>
                  </pic:blipFill>
                  <pic:spPr>
                    <a:xfrm>
                      <a:off x="0" y="0"/>
                      <a:ext cx="5275580" cy="1522095"/>
                    </a:xfrm>
                    <a:prstGeom prst="rect">
                      <a:avLst/>
                    </a:prstGeom>
                  </pic:spPr>
                </pic:pic>
              </a:graphicData>
            </a:graphic>
          </wp:inline>
        </w:drawing>
      </w:r>
    </w:p>
    <w:p w14:paraId="02CC406A">
      <w:pPr>
        <w:spacing w:before="100" w:line="224" w:lineRule="auto"/>
        <w:ind w:left="677"/>
        <w:rPr>
          <w:rFonts w:ascii="黑体" w:hAnsi="黑体" w:eastAsia="黑体" w:cs="黑体"/>
          <w:sz w:val="32"/>
          <w:szCs w:val="32"/>
        </w:rPr>
      </w:pPr>
      <w:r>
        <w:rPr>
          <w:rFonts w:ascii="黑体" w:hAnsi="黑体" w:eastAsia="黑体" w:cs="黑体"/>
          <w:spacing w:val="8"/>
          <w:sz w:val="32"/>
          <w:szCs w:val="32"/>
        </w:rPr>
        <w:t>六、一般公共预算财政拨款基本支出决算明细表</w:t>
      </w:r>
    </w:p>
    <w:p w14:paraId="1B5AE77D">
      <w:pPr>
        <w:keepNext w:val="0"/>
        <w:keepLines w:val="0"/>
        <w:pageBreakBefore w:val="0"/>
        <w:widowControl/>
        <w:kinsoku w:val="0"/>
        <w:wordWrap/>
        <w:overflowPunct/>
        <w:topLinePunct w:val="0"/>
        <w:autoSpaceDE w:val="0"/>
        <w:autoSpaceDN w:val="0"/>
        <w:bidi w:val="0"/>
        <w:adjustRightInd w:val="0"/>
        <w:snapToGrid w:val="0"/>
        <w:spacing w:line="5964" w:lineRule="exact"/>
        <w:ind w:firstLine="0"/>
        <w:textAlignment w:val="baseline"/>
        <w:rPr>
          <w:rFonts w:hint="eastAsia" w:eastAsia="宋体"/>
          <w:lang w:eastAsia="zh-CN"/>
        </w:rPr>
      </w:pPr>
      <w:r>
        <w:rPr>
          <w:rFonts w:hint="eastAsia" w:eastAsia="宋体"/>
          <w:lang w:eastAsia="zh-CN"/>
        </w:rPr>
        <w:drawing>
          <wp:inline distT="0" distB="0" distL="114300" distR="114300">
            <wp:extent cx="5293360" cy="3355975"/>
            <wp:effectExtent l="0" t="0" r="2540" b="15875"/>
            <wp:docPr id="6" name="图片 6" descr="长春市南关区财政局_Z08_1 一般公共预算财政拨款基本支出决算明细批复表(财决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长春市南关区财政局_Z08_1 一般公共预算财政拨款基本支出决算明细批复表(财决批"/>
                    <pic:cNvPicPr>
                      <a:picLocks noChangeAspect="1"/>
                    </pic:cNvPicPr>
                  </pic:nvPicPr>
                  <pic:blipFill>
                    <a:blip r:embed="rId23"/>
                    <a:stretch>
                      <a:fillRect/>
                    </a:stretch>
                  </pic:blipFill>
                  <pic:spPr>
                    <a:xfrm>
                      <a:off x="0" y="0"/>
                      <a:ext cx="5293360" cy="3355975"/>
                    </a:xfrm>
                    <a:prstGeom prst="rect">
                      <a:avLst/>
                    </a:prstGeom>
                  </pic:spPr>
                </pic:pic>
              </a:graphicData>
            </a:graphic>
          </wp:inline>
        </w:drawing>
      </w:r>
    </w:p>
    <w:p w14:paraId="242C5253">
      <w:pPr>
        <w:tabs>
          <w:tab w:val="left" w:pos="2864"/>
        </w:tabs>
        <w:bidi w:val="0"/>
        <w:jc w:val="left"/>
        <w:rPr>
          <w:rFonts w:ascii="黑体" w:hAnsi="黑体" w:eastAsia="黑体" w:cs="黑体"/>
          <w:sz w:val="32"/>
          <w:szCs w:val="32"/>
        </w:rPr>
      </w:pPr>
      <w:r>
        <w:rPr>
          <w:rFonts w:ascii="黑体" w:hAnsi="黑体" w:eastAsia="黑体" w:cs="黑体"/>
          <w:spacing w:val="8"/>
          <w:sz w:val="32"/>
          <w:szCs w:val="32"/>
        </w:rPr>
        <w:t>七、政府性基金预算财政拨款收入支出决算表</w:t>
      </w:r>
    </w:p>
    <w:p w14:paraId="40016AF4">
      <w:pPr>
        <w:keepNext w:val="0"/>
        <w:keepLines w:val="0"/>
        <w:pageBreakBefore w:val="0"/>
        <w:widowControl/>
        <w:kinsoku w:val="0"/>
        <w:wordWrap/>
        <w:overflowPunct/>
        <w:topLinePunct w:val="0"/>
        <w:autoSpaceDE w:val="0"/>
        <w:autoSpaceDN w:val="0"/>
        <w:bidi w:val="0"/>
        <w:adjustRightInd w:val="0"/>
        <w:snapToGrid w:val="0"/>
        <w:spacing w:line="3302" w:lineRule="exact"/>
        <w:ind w:firstLine="0"/>
        <w:textAlignment w:val="baseline"/>
        <w:rPr>
          <w:rFonts w:hint="eastAsia" w:eastAsia="宋体"/>
          <w:lang w:eastAsia="zh-CN"/>
        </w:rPr>
      </w:pPr>
      <w:r>
        <w:rPr>
          <w:rFonts w:hint="eastAsia" w:eastAsia="宋体"/>
          <w:lang w:eastAsia="zh-CN"/>
        </w:rPr>
        <w:drawing>
          <wp:inline distT="0" distB="0" distL="114300" distR="114300">
            <wp:extent cx="5292725" cy="1256030"/>
            <wp:effectExtent l="0" t="0" r="3175" b="1270"/>
            <wp:docPr id="7" name="图片 7" descr="长春市南关区财政局_Z09 政府性基金预算财政拨款收入支出决算批复表(财决批复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长春市南关区财政局_Z09 政府性基金预算财政拨款收入支出决算批复表(财决批复07"/>
                    <pic:cNvPicPr>
                      <a:picLocks noChangeAspect="1"/>
                    </pic:cNvPicPr>
                  </pic:nvPicPr>
                  <pic:blipFill>
                    <a:blip r:embed="rId24"/>
                    <a:stretch>
                      <a:fillRect/>
                    </a:stretch>
                  </pic:blipFill>
                  <pic:spPr>
                    <a:xfrm>
                      <a:off x="0" y="0"/>
                      <a:ext cx="5292725" cy="1256030"/>
                    </a:xfrm>
                    <a:prstGeom prst="rect">
                      <a:avLst/>
                    </a:prstGeom>
                  </pic:spPr>
                </pic:pic>
              </a:graphicData>
            </a:graphic>
          </wp:inline>
        </w:drawing>
      </w:r>
    </w:p>
    <w:p w14:paraId="2AD05980">
      <w:pPr>
        <w:spacing w:before="101" w:line="224" w:lineRule="auto"/>
        <w:ind w:left="667"/>
        <w:rPr>
          <w:rFonts w:ascii="黑体" w:hAnsi="黑体" w:eastAsia="黑体" w:cs="黑体"/>
          <w:sz w:val="32"/>
          <w:szCs w:val="32"/>
        </w:rPr>
      </w:pPr>
      <w:r>
        <w:rPr>
          <w:rFonts w:ascii="黑体" w:hAnsi="黑体" w:eastAsia="黑体" w:cs="黑体"/>
          <w:spacing w:val="8"/>
          <w:sz w:val="32"/>
          <w:szCs w:val="32"/>
        </w:rPr>
        <w:t>八、国有资本经营预算财政拨款支出决算表</w:t>
      </w:r>
    </w:p>
    <w:p w14:paraId="48E16D23">
      <w:pPr>
        <w:keepNext w:val="0"/>
        <w:keepLines w:val="0"/>
        <w:pageBreakBefore w:val="0"/>
        <w:widowControl/>
        <w:kinsoku w:val="0"/>
        <w:wordWrap/>
        <w:overflowPunct/>
        <w:topLinePunct w:val="0"/>
        <w:autoSpaceDE w:val="0"/>
        <w:autoSpaceDN w:val="0"/>
        <w:bidi w:val="0"/>
        <w:adjustRightInd w:val="0"/>
        <w:snapToGrid w:val="0"/>
        <w:spacing w:line="3302" w:lineRule="exact"/>
        <w:ind w:firstLine="0"/>
        <w:textAlignment w:val="baseline"/>
        <w:rPr>
          <w:rFonts w:hint="eastAsia" w:eastAsia="宋体"/>
          <w:lang w:eastAsia="zh-CN"/>
        </w:rPr>
      </w:pPr>
      <w:r>
        <w:rPr>
          <w:rFonts w:hint="eastAsia" w:eastAsia="宋体"/>
          <w:lang w:eastAsia="zh-CN"/>
        </w:rPr>
        <w:drawing>
          <wp:inline distT="0" distB="0" distL="114300" distR="114300">
            <wp:extent cx="5287645" cy="1814830"/>
            <wp:effectExtent l="0" t="0" r="8255" b="13970"/>
            <wp:docPr id="8" name="图片 8" descr="长春市南关区财政局_Z11 国有资本经营预算财政拨款收入支出决算批复表(财决批复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长春市南关区财政局_Z11 国有资本经营预算财政拨款收入支出决算批复表(财决批复0"/>
                    <pic:cNvPicPr>
                      <a:picLocks noChangeAspect="1"/>
                    </pic:cNvPicPr>
                  </pic:nvPicPr>
                  <pic:blipFill>
                    <a:blip r:embed="rId25"/>
                    <a:stretch>
                      <a:fillRect/>
                    </a:stretch>
                  </pic:blipFill>
                  <pic:spPr>
                    <a:xfrm>
                      <a:off x="0" y="0"/>
                      <a:ext cx="5287645" cy="1814830"/>
                    </a:xfrm>
                    <a:prstGeom prst="rect">
                      <a:avLst/>
                    </a:prstGeom>
                  </pic:spPr>
                </pic:pic>
              </a:graphicData>
            </a:graphic>
          </wp:inline>
        </w:drawing>
      </w:r>
    </w:p>
    <w:p w14:paraId="028F49B5">
      <w:pPr>
        <w:spacing w:before="101" w:line="224" w:lineRule="auto"/>
        <w:ind w:left="675"/>
        <w:rPr>
          <w:rFonts w:ascii="黑体" w:hAnsi="黑体" w:eastAsia="黑体" w:cs="黑体"/>
          <w:sz w:val="32"/>
          <w:szCs w:val="32"/>
        </w:rPr>
      </w:pPr>
      <w:r>
        <w:rPr>
          <w:rFonts w:ascii="黑体" w:hAnsi="黑体" w:eastAsia="黑体" w:cs="黑体"/>
          <w:spacing w:val="8"/>
          <w:sz w:val="32"/>
          <w:szCs w:val="32"/>
        </w:rPr>
        <w:t>九、财政拨款“三公”经费支出决算表</w:t>
      </w:r>
    </w:p>
    <w:p w14:paraId="64C90C9C">
      <w:pPr>
        <w:keepNext w:val="0"/>
        <w:keepLines w:val="0"/>
        <w:pageBreakBefore w:val="0"/>
        <w:widowControl/>
        <w:kinsoku w:val="0"/>
        <w:wordWrap/>
        <w:overflowPunct/>
        <w:topLinePunct w:val="0"/>
        <w:autoSpaceDE w:val="0"/>
        <w:autoSpaceDN w:val="0"/>
        <w:bidi w:val="0"/>
        <w:adjustRightInd w:val="0"/>
        <w:snapToGrid w:val="0"/>
        <w:spacing w:line="3302" w:lineRule="exact"/>
        <w:ind w:firstLine="238"/>
        <w:textAlignment w:val="baseline"/>
        <w:rPr>
          <w:rFonts w:hint="eastAsia" w:eastAsia="宋体"/>
          <w:lang w:eastAsia="zh-CN"/>
        </w:rPr>
      </w:pPr>
      <w:r>
        <w:rPr>
          <w:rFonts w:hint="eastAsia" w:eastAsia="宋体"/>
          <w:lang w:eastAsia="zh-CN"/>
        </w:rPr>
        <w:drawing>
          <wp:inline distT="0" distB="0" distL="114300" distR="114300">
            <wp:extent cx="5273675" cy="1050925"/>
            <wp:effectExtent l="0" t="0" r="3175" b="15875"/>
            <wp:docPr id="9" name="图片 9" descr="决算公开模版表2023-----财政局_公开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决算公开模版表2023-----财政局_公开9"/>
                    <pic:cNvPicPr>
                      <a:picLocks noChangeAspect="1"/>
                    </pic:cNvPicPr>
                  </pic:nvPicPr>
                  <pic:blipFill>
                    <a:blip r:embed="rId26"/>
                    <a:stretch>
                      <a:fillRect/>
                    </a:stretch>
                  </pic:blipFill>
                  <pic:spPr>
                    <a:xfrm>
                      <a:off x="0" y="0"/>
                      <a:ext cx="5273675" cy="1050925"/>
                    </a:xfrm>
                    <a:prstGeom prst="rect">
                      <a:avLst/>
                    </a:prstGeom>
                  </pic:spPr>
                </pic:pic>
              </a:graphicData>
            </a:graphic>
          </wp:inline>
        </w:drawing>
      </w:r>
    </w:p>
    <w:p w14:paraId="32DF6904">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672" w:firstLineChars="200"/>
        <w:textAlignment w:val="baseline"/>
        <w:rPr>
          <w:rFonts w:ascii="黑体" w:hAnsi="黑体" w:eastAsia="黑体" w:cs="黑体"/>
          <w:spacing w:val="8"/>
          <w:sz w:val="32"/>
          <w:szCs w:val="32"/>
        </w:rPr>
      </w:pPr>
    </w:p>
    <w:p w14:paraId="3950FAA3">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672" w:firstLineChars="200"/>
        <w:textAlignment w:val="baseline"/>
        <w:rPr>
          <w:rFonts w:ascii="黑体" w:hAnsi="黑体" w:eastAsia="黑体" w:cs="黑体"/>
          <w:sz w:val="32"/>
          <w:szCs w:val="32"/>
        </w:rPr>
      </w:pPr>
      <w:r>
        <w:rPr>
          <w:rFonts w:ascii="黑体" w:hAnsi="黑体" w:eastAsia="黑体" w:cs="黑体"/>
          <w:spacing w:val="8"/>
          <w:sz w:val="32"/>
          <w:szCs w:val="32"/>
        </w:rPr>
        <w:t>十、部门预算项目支出绩效自评表</w:t>
      </w:r>
    </w:p>
    <w:p w14:paraId="47EBDD85">
      <w:pPr>
        <w:pStyle w:val="2"/>
        <w:spacing w:line="261" w:lineRule="auto"/>
      </w:pPr>
      <w:r>
        <w:rPr>
          <w:rFonts w:hint="eastAsia" w:eastAsia="宋体"/>
          <w:lang w:eastAsia="zh-CN"/>
        </w:rPr>
        <w:drawing>
          <wp:inline distT="0" distB="0" distL="114300" distR="114300">
            <wp:extent cx="5273675" cy="3315970"/>
            <wp:effectExtent l="0" t="0" r="3175" b="17780"/>
            <wp:docPr id="10" name="图片 10" descr="E:/会计/工作2023/2023年决算公开/项目绩效自评.png项目绩效自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E:/会计/工作2023/2023年决算公开/项目绩效自评.png项目绩效自评"/>
                    <pic:cNvPicPr>
                      <a:picLocks noChangeAspect="1"/>
                    </pic:cNvPicPr>
                  </pic:nvPicPr>
                  <pic:blipFill>
                    <a:blip r:embed="rId27"/>
                    <a:srcRect l="718" r="718"/>
                    <a:stretch>
                      <a:fillRect/>
                    </a:stretch>
                  </pic:blipFill>
                  <pic:spPr>
                    <a:xfrm>
                      <a:off x="0" y="0"/>
                      <a:ext cx="5273675" cy="3315970"/>
                    </a:xfrm>
                    <a:prstGeom prst="rect">
                      <a:avLst/>
                    </a:prstGeom>
                  </pic:spPr>
                </pic:pic>
              </a:graphicData>
            </a:graphic>
          </wp:inline>
        </w:drawing>
      </w:r>
    </w:p>
    <w:p w14:paraId="5466A775">
      <w:pPr>
        <w:spacing w:before="225" w:line="443" w:lineRule="exact"/>
        <w:ind w:left="482"/>
        <w:outlineLvl w:val="0"/>
        <w:rPr>
          <w:rFonts w:ascii="微软雅黑" w:hAnsi="微软雅黑" w:eastAsia="微软雅黑" w:cs="微软雅黑"/>
          <w:spacing w:val="5"/>
          <w:position w:val="-2"/>
          <w:sz w:val="43"/>
          <w:szCs w:val="43"/>
        </w:rPr>
      </w:pPr>
    </w:p>
    <w:p w14:paraId="27D99434">
      <w:pPr>
        <w:keepNext w:val="0"/>
        <w:keepLines w:val="0"/>
        <w:pageBreakBefore w:val="0"/>
        <w:widowControl w:val="0"/>
        <w:wordWrap/>
        <w:overflowPunct w:val="0"/>
        <w:topLinePunct w:val="0"/>
        <w:autoSpaceDE w:val="0"/>
        <w:autoSpaceDN w:val="0"/>
        <w:bidi w:val="0"/>
        <w:adjustRightInd w:val="0"/>
        <w:snapToGrid w:val="0"/>
        <w:spacing w:line="576" w:lineRule="exact"/>
        <w:ind w:left="0" w:firstLine="880" w:firstLineChars="200"/>
        <w:textAlignment w:val="baseline"/>
        <w:outlineLvl w:val="0"/>
        <w:rPr>
          <w:rFonts w:ascii="微软雅黑" w:hAnsi="微软雅黑" w:eastAsia="微软雅黑" w:cs="微软雅黑"/>
          <w:sz w:val="43"/>
          <w:szCs w:val="43"/>
        </w:rPr>
      </w:pPr>
      <w:r>
        <w:rPr>
          <w:rFonts w:ascii="微软雅黑" w:hAnsi="微软雅黑" w:eastAsia="微软雅黑" w:cs="微软雅黑"/>
          <w:spacing w:val="5"/>
          <w:position w:val="-2"/>
          <w:sz w:val="43"/>
          <w:szCs w:val="43"/>
        </w:rPr>
        <w:t>第三部分</w:t>
      </w:r>
      <w:r>
        <w:rPr>
          <w:rFonts w:ascii="微软雅黑" w:hAnsi="微软雅黑" w:eastAsia="微软雅黑" w:cs="微软雅黑"/>
          <w:spacing w:val="103"/>
          <w:position w:val="-2"/>
          <w:sz w:val="43"/>
          <w:szCs w:val="43"/>
        </w:rPr>
        <w:t xml:space="preserve"> </w:t>
      </w:r>
      <w:r>
        <w:rPr>
          <w:rFonts w:ascii="微软雅黑" w:hAnsi="微软雅黑" w:eastAsia="微软雅黑" w:cs="微软雅黑"/>
          <w:spacing w:val="5"/>
          <w:position w:val="-2"/>
          <w:sz w:val="43"/>
          <w:szCs w:val="43"/>
        </w:rPr>
        <w:t>2023年度部门决算情况说明</w:t>
      </w:r>
    </w:p>
    <w:p w14:paraId="407D9222">
      <w:pPr>
        <w:pStyle w:val="2"/>
        <w:keepNext w:val="0"/>
        <w:keepLines w:val="0"/>
        <w:pageBreakBefore w:val="0"/>
        <w:widowControl w:val="0"/>
        <w:wordWrap/>
        <w:overflowPunct w:val="0"/>
        <w:topLinePunct w:val="0"/>
        <w:autoSpaceDE w:val="0"/>
        <w:autoSpaceDN w:val="0"/>
        <w:bidi w:val="0"/>
        <w:adjustRightInd w:val="0"/>
        <w:snapToGrid w:val="0"/>
        <w:spacing w:line="576" w:lineRule="exact"/>
        <w:ind w:left="0" w:firstLine="420" w:firstLineChars="200"/>
        <w:textAlignment w:val="baseline"/>
      </w:pPr>
    </w:p>
    <w:p w14:paraId="202454F1">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z w:val="32"/>
          <w:szCs w:val="32"/>
        </w:rPr>
      </w:pPr>
      <w:r>
        <w:rPr>
          <w:rFonts w:ascii="黑体" w:hAnsi="黑体" w:eastAsia="黑体" w:cs="黑体"/>
          <w:spacing w:val="8"/>
          <w:sz w:val="32"/>
          <w:szCs w:val="32"/>
        </w:rPr>
        <w:t>一、收入支出决算总体情况说明</w:t>
      </w:r>
    </w:p>
    <w:p w14:paraId="7522A446">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2023年度收、支总计均为</w:t>
      </w:r>
      <w:r>
        <w:rPr>
          <w:rFonts w:hint="eastAsia" w:ascii="仿宋_GB2312" w:hAnsi="仿宋_GB2312" w:eastAsia="仿宋_GB2312" w:cs="仿宋_GB2312"/>
          <w:spacing w:val="4"/>
          <w:sz w:val="32"/>
          <w:szCs w:val="32"/>
          <w:lang w:val="en-US" w:eastAsia="zh-CN"/>
        </w:rPr>
        <w:t>1084.74、1080.15</w:t>
      </w:r>
      <w:r>
        <w:rPr>
          <w:rFonts w:hint="eastAsia" w:ascii="仿宋_GB2312" w:hAnsi="仿宋_GB2312" w:eastAsia="仿宋_GB2312" w:cs="仿宋_GB2312"/>
          <w:spacing w:val="4"/>
          <w:sz w:val="32"/>
          <w:szCs w:val="32"/>
        </w:rPr>
        <w:t>万元。与</w:t>
      </w:r>
      <w:r>
        <w:rPr>
          <w:rFonts w:hint="eastAsia" w:ascii="仿宋_GB2312" w:hAnsi="仿宋_GB2312" w:eastAsia="仿宋_GB2312" w:cs="仿宋_GB2312"/>
          <w:spacing w:val="-32"/>
          <w:sz w:val="32"/>
          <w:szCs w:val="32"/>
        </w:rPr>
        <w:t xml:space="preserve"> </w:t>
      </w:r>
      <w:r>
        <w:rPr>
          <w:rFonts w:hint="eastAsia" w:ascii="仿宋_GB2312" w:hAnsi="仿宋_GB2312" w:eastAsia="仿宋_GB2312" w:cs="仿宋_GB2312"/>
          <w:spacing w:val="4"/>
          <w:sz w:val="32"/>
          <w:szCs w:val="32"/>
        </w:rPr>
        <w:t>2022年度相比，收、支总计各增加</w:t>
      </w:r>
      <w:r>
        <w:rPr>
          <w:rFonts w:hint="eastAsia" w:ascii="仿宋_GB2312" w:hAnsi="仿宋_GB2312" w:eastAsia="仿宋_GB2312" w:cs="仿宋_GB2312"/>
          <w:spacing w:val="4"/>
          <w:sz w:val="32"/>
          <w:szCs w:val="32"/>
          <w:lang w:val="en-US" w:eastAsia="zh-CN"/>
        </w:rPr>
        <w:t>236.33、232.62</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28</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lang w:eastAsia="zh-CN"/>
        </w:rPr>
        <w:t>、</w:t>
      </w:r>
      <w:r>
        <w:rPr>
          <w:rFonts w:hint="eastAsia" w:ascii="仿宋_GB2312" w:hAnsi="仿宋_GB2312" w:eastAsia="仿宋_GB2312" w:cs="仿宋_GB2312"/>
          <w:spacing w:val="4"/>
          <w:sz w:val="32"/>
          <w:szCs w:val="32"/>
          <w:lang w:val="en-US" w:eastAsia="zh-CN"/>
        </w:rPr>
        <w:t>27%</w:t>
      </w:r>
      <w:r>
        <w:rPr>
          <w:rFonts w:hint="eastAsia" w:ascii="仿宋_GB2312" w:hAnsi="仿宋_GB2312" w:eastAsia="仿宋_GB2312" w:cs="仿宋_GB2312"/>
          <w:spacing w:val="4"/>
          <w:sz w:val="32"/>
          <w:szCs w:val="32"/>
        </w:rPr>
        <w:t>。主</w:t>
      </w:r>
      <w:r>
        <w:rPr>
          <w:rFonts w:hint="eastAsia" w:ascii="仿宋_GB2312" w:hAnsi="仿宋_GB2312" w:eastAsia="仿宋_GB2312" w:cs="仿宋_GB2312"/>
          <w:spacing w:val="-10"/>
          <w:sz w:val="32"/>
          <w:szCs w:val="32"/>
        </w:rPr>
        <w:t>要原因：</w:t>
      </w:r>
      <w:r>
        <w:rPr>
          <w:rFonts w:hint="eastAsia" w:ascii="仿宋_GB2312" w:hAnsi="仿宋_GB2312" w:eastAsia="仿宋_GB2312" w:cs="仿宋_GB2312"/>
          <w:spacing w:val="4"/>
          <w:sz w:val="32"/>
          <w:szCs w:val="32"/>
          <w:lang w:val="en-US" w:eastAsia="zh-CN"/>
        </w:rPr>
        <w:t>人员经费增加。</w:t>
      </w:r>
    </w:p>
    <w:p w14:paraId="45DD7074">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pacing w:val="4"/>
          <w:sz w:val="32"/>
          <w:szCs w:val="32"/>
          <w:lang w:val="en-US" w:eastAsia="zh-CN"/>
        </w:rPr>
      </w:pPr>
    </w:p>
    <w:p w14:paraId="77330C0A">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z w:val="32"/>
          <w:szCs w:val="32"/>
        </w:rPr>
      </w:pPr>
      <w:r>
        <w:rPr>
          <w:rFonts w:ascii="黑体" w:hAnsi="黑体" w:eastAsia="黑体" w:cs="黑体"/>
          <w:spacing w:val="8"/>
          <w:sz w:val="32"/>
          <w:szCs w:val="32"/>
        </w:rPr>
        <w:t>二、收入决算情况说明</w:t>
      </w:r>
    </w:p>
    <w:p w14:paraId="74DE48FF">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本年收入合计</w:t>
      </w:r>
      <w:r>
        <w:rPr>
          <w:rFonts w:hint="eastAsia" w:ascii="仿宋_GB2312" w:hAnsi="仿宋_GB2312" w:eastAsia="仿宋_GB2312" w:cs="仿宋_GB2312"/>
          <w:spacing w:val="4"/>
          <w:sz w:val="32"/>
          <w:szCs w:val="32"/>
          <w:lang w:val="en-US" w:eastAsia="zh-CN"/>
        </w:rPr>
        <w:t>1084.74</w:t>
      </w:r>
      <w:r>
        <w:rPr>
          <w:rFonts w:hint="eastAsia" w:ascii="仿宋_GB2312" w:hAnsi="仿宋_GB2312" w:eastAsia="仿宋_GB2312" w:cs="仿宋_GB2312"/>
          <w:spacing w:val="4"/>
          <w:sz w:val="32"/>
          <w:szCs w:val="32"/>
        </w:rPr>
        <w:t>万元，其中：财政拨款收入</w:t>
      </w:r>
      <w:r>
        <w:rPr>
          <w:rFonts w:hint="eastAsia" w:ascii="仿宋_GB2312" w:hAnsi="仿宋_GB2312" w:eastAsia="仿宋_GB2312" w:cs="仿宋_GB2312"/>
          <w:spacing w:val="4"/>
          <w:sz w:val="32"/>
          <w:szCs w:val="32"/>
          <w:lang w:val="en-US" w:eastAsia="zh-CN"/>
        </w:rPr>
        <w:t>1083.79</w:t>
      </w:r>
      <w:r>
        <w:rPr>
          <w:rFonts w:hint="eastAsia" w:ascii="仿宋_GB2312" w:hAnsi="仿宋_GB2312" w:eastAsia="仿宋_GB2312" w:cs="仿宋_GB2312"/>
          <w:spacing w:val="4"/>
          <w:sz w:val="32"/>
          <w:szCs w:val="32"/>
        </w:rPr>
        <w:t>万元，比上年增加</w:t>
      </w:r>
      <w:r>
        <w:rPr>
          <w:rFonts w:hint="eastAsia" w:ascii="仿宋_GB2312" w:hAnsi="仿宋_GB2312" w:eastAsia="仿宋_GB2312" w:cs="仿宋_GB2312"/>
          <w:spacing w:val="4"/>
          <w:sz w:val="32"/>
          <w:szCs w:val="32"/>
          <w:lang w:val="en-US" w:eastAsia="zh-CN"/>
        </w:rPr>
        <w:t>236.27</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28</w:t>
      </w:r>
      <w:r>
        <w:rPr>
          <w:rFonts w:hint="eastAsia" w:ascii="仿宋_GB2312" w:hAnsi="仿宋_GB2312" w:eastAsia="仿宋_GB2312" w:cs="仿宋_GB2312"/>
          <w:spacing w:val="4"/>
          <w:sz w:val="32"/>
          <w:szCs w:val="32"/>
        </w:rPr>
        <w:t>%，主要是</w:t>
      </w:r>
      <w:r>
        <w:rPr>
          <w:rFonts w:hint="eastAsia" w:ascii="仿宋_GB2312" w:hAnsi="仿宋_GB2312" w:eastAsia="仿宋_GB2312" w:cs="仿宋_GB2312"/>
          <w:spacing w:val="4"/>
          <w:sz w:val="32"/>
          <w:szCs w:val="32"/>
          <w:lang w:val="en-US" w:eastAsia="zh-CN"/>
        </w:rPr>
        <w:t>人员经费增加</w:t>
      </w:r>
      <w:r>
        <w:rPr>
          <w:rFonts w:hint="eastAsia" w:ascii="仿宋_GB2312" w:hAnsi="仿宋_GB2312" w:eastAsia="仿宋_GB2312" w:cs="仿宋_GB2312"/>
          <w:spacing w:val="4"/>
          <w:sz w:val="32"/>
          <w:szCs w:val="32"/>
        </w:rPr>
        <w:t>；上级补助收入</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万元，比上年增加</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%，主要是</w:t>
      </w:r>
      <w:r>
        <w:rPr>
          <w:rFonts w:hint="eastAsia" w:ascii="仿宋_GB2312" w:hAnsi="仿宋_GB2312" w:eastAsia="仿宋_GB2312" w:cs="仿宋_GB2312"/>
          <w:spacing w:val="4"/>
          <w:sz w:val="32"/>
          <w:szCs w:val="32"/>
          <w:lang w:eastAsia="zh-CN"/>
        </w:rPr>
        <w:t>本单位无上级补助收入</w:t>
      </w:r>
      <w:r>
        <w:rPr>
          <w:rFonts w:hint="eastAsia" w:ascii="仿宋_GB2312" w:hAnsi="仿宋_GB2312" w:eastAsia="仿宋_GB2312" w:cs="仿宋_GB2312"/>
          <w:spacing w:val="4"/>
          <w:sz w:val="32"/>
          <w:szCs w:val="32"/>
        </w:rPr>
        <w:t>；事业收入</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万元，比上年增加</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%，主要是</w:t>
      </w:r>
      <w:r>
        <w:rPr>
          <w:rFonts w:hint="eastAsia" w:ascii="仿宋_GB2312" w:hAnsi="仿宋_GB2312" w:eastAsia="仿宋_GB2312" w:cs="仿宋_GB2312"/>
          <w:spacing w:val="4"/>
          <w:sz w:val="32"/>
          <w:szCs w:val="32"/>
          <w:lang w:eastAsia="zh-CN"/>
        </w:rPr>
        <w:t>本单位无事业收入</w:t>
      </w:r>
      <w:r>
        <w:rPr>
          <w:rFonts w:hint="eastAsia" w:ascii="仿宋_GB2312" w:hAnsi="仿宋_GB2312" w:eastAsia="仿宋_GB2312" w:cs="仿宋_GB2312"/>
          <w:spacing w:val="4"/>
          <w:sz w:val="32"/>
          <w:szCs w:val="32"/>
        </w:rPr>
        <w:t>；经营收入</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万元，比上年增加</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 xml:space="preserve"> %，主要是</w:t>
      </w:r>
      <w:r>
        <w:rPr>
          <w:rFonts w:hint="eastAsia" w:ascii="仿宋_GB2312" w:hAnsi="仿宋_GB2312" w:eastAsia="仿宋_GB2312" w:cs="仿宋_GB2312"/>
          <w:spacing w:val="4"/>
          <w:sz w:val="32"/>
          <w:szCs w:val="32"/>
          <w:lang w:eastAsia="zh-CN"/>
        </w:rPr>
        <w:t>本单位无经营收入</w:t>
      </w:r>
      <w:r>
        <w:rPr>
          <w:rFonts w:hint="eastAsia" w:ascii="仿宋_GB2312" w:hAnsi="仿宋_GB2312" w:eastAsia="仿宋_GB2312" w:cs="仿宋_GB2312"/>
          <w:spacing w:val="4"/>
          <w:sz w:val="32"/>
          <w:szCs w:val="32"/>
        </w:rPr>
        <w:t>；附属单位上缴收入</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万元，比上年增加</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0</w:t>
      </w:r>
      <w:r>
        <w:rPr>
          <w:rFonts w:hint="eastAsia" w:ascii="仿宋_GB2312" w:hAnsi="仿宋_GB2312" w:eastAsia="仿宋_GB2312" w:cs="仿宋_GB2312"/>
          <w:spacing w:val="4"/>
          <w:sz w:val="32"/>
          <w:szCs w:val="32"/>
        </w:rPr>
        <w:t>%，主要是</w:t>
      </w:r>
      <w:r>
        <w:rPr>
          <w:rFonts w:hint="eastAsia" w:ascii="仿宋_GB2312" w:hAnsi="仿宋_GB2312" w:eastAsia="仿宋_GB2312" w:cs="仿宋_GB2312"/>
          <w:spacing w:val="4"/>
          <w:sz w:val="32"/>
          <w:szCs w:val="32"/>
          <w:lang w:eastAsia="zh-CN"/>
        </w:rPr>
        <w:t>本单位无附属单位上缴收入</w:t>
      </w:r>
      <w:r>
        <w:rPr>
          <w:rFonts w:hint="eastAsia" w:ascii="仿宋_GB2312" w:hAnsi="仿宋_GB2312" w:eastAsia="仿宋_GB2312" w:cs="仿宋_GB2312"/>
          <w:spacing w:val="4"/>
          <w:sz w:val="32"/>
          <w:szCs w:val="32"/>
        </w:rPr>
        <w:t>；其他收入</w:t>
      </w:r>
      <w:r>
        <w:rPr>
          <w:rFonts w:hint="eastAsia" w:ascii="仿宋_GB2312" w:hAnsi="仿宋_GB2312" w:eastAsia="仿宋_GB2312" w:cs="仿宋_GB2312"/>
          <w:spacing w:val="4"/>
          <w:sz w:val="32"/>
          <w:szCs w:val="32"/>
          <w:lang w:val="en-US" w:eastAsia="zh-CN"/>
        </w:rPr>
        <w:t>0.95</w:t>
      </w:r>
      <w:r>
        <w:rPr>
          <w:rFonts w:hint="eastAsia" w:ascii="仿宋_GB2312" w:hAnsi="仿宋_GB2312" w:eastAsia="仿宋_GB2312" w:cs="仿宋_GB2312"/>
          <w:spacing w:val="4"/>
          <w:sz w:val="32"/>
          <w:szCs w:val="32"/>
        </w:rPr>
        <w:t>万元，比上年增加</w:t>
      </w:r>
      <w:r>
        <w:rPr>
          <w:rFonts w:hint="eastAsia" w:ascii="仿宋_GB2312" w:hAnsi="仿宋_GB2312" w:eastAsia="仿宋_GB2312" w:cs="仿宋_GB2312"/>
          <w:spacing w:val="4"/>
          <w:sz w:val="32"/>
          <w:szCs w:val="32"/>
          <w:lang w:val="en-US" w:eastAsia="zh-CN"/>
        </w:rPr>
        <w:t>0.07</w:t>
      </w:r>
      <w:r>
        <w:rPr>
          <w:rFonts w:hint="eastAsia" w:ascii="仿宋_GB2312" w:hAnsi="仿宋_GB2312" w:eastAsia="仿宋_GB2312" w:cs="仿宋_GB2312"/>
          <w:spacing w:val="4"/>
          <w:sz w:val="32"/>
          <w:szCs w:val="32"/>
        </w:rPr>
        <w:t>万元，增长</w:t>
      </w:r>
      <w:r>
        <w:rPr>
          <w:rFonts w:hint="eastAsia" w:ascii="仿宋_GB2312" w:hAnsi="仿宋_GB2312" w:eastAsia="仿宋_GB2312" w:cs="仿宋_GB2312"/>
          <w:spacing w:val="4"/>
          <w:sz w:val="32"/>
          <w:szCs w:val="32"/>
          <w:lang w:val="en-US" w:eastAsia="zh-CN"/>
        </w:rPr>
        <w:t>8</w:t>
      </w:r>
      <w:r>
        <w:rPr>
          <w:rFonts w:hint="eastAsia" w:ascii="仿宋_GB2312" w:hAnsi="仿宋_GB2312" w:eastAsia="仿宋_GB2312" w:cs="仿宋_GB2312"/>
          <w:spacing w:val="4"/>
          <w:sz w:val="32"/>
          <w:szCs w:val="32"/>
        </w:rPr>
        <w:t>%，主要是</w:t>
      </w:r>
      <w:r>
        <w:rPr>
          <w:rFonts w:hint="eastAsia" w:ascii="仿宋_GB2312" w:hAnsi="仿宋_GB2312" w:eastAsia="仿宋_GB2312" w:cs="仿宋_GB2312"/>
          <w:spacing w:val="4"/>
          <w:sz w:val="32"/>
          <w:szCs w:val="32"/>
          <w:lang w:eastAsia="zh-CN"/>
        </w:rPr>
        <w:t>利息收入增加</w:t>
      </w:r>
      <w:r>
        <w:rPr>
          <w:rFonts w:hint="eastAsia" w:ascii="仿宋_GB2312" w:hAnsi="仿宋_GB2312" w:eastAsia="仿宋_GB2312" w:cs="仿宋_GB2312"/>
          <w:spacing w:val="4"/>
          <w:sz w:val="32"/>
          <w:szCs w:val="32"/>
        </w:rPr>
        <w:t>。</w:t>
      </w:r>
    </w:p>
    <w:p w14:paraId="7F85B0B0">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pacing w:val="4"/>
          <w:sz w:val="32"/>
          <w:szCs w:val="32"/>
        </w:rPr>
      </w:pPr>
    </w:p>
    <w:p w14:paraId="0CC378C2">
      <w:pPr>
        <w:keepNext w:val="0"/>
        <w:keepLines w:val="0"/>
        <w:pageBreakBefore w:val="0"/>
        <w:tabs>
          <w:tab w:val="center" w:pos="4204"/>
        </w:tabs>
        <w:wordWrap/>
        <w:topLinePunct w:val="0"/>
        <w:autoSpaceDE w:val="0"/>
        <w:autoSpaceDN w:val="0"/>
        <w:bidi w:val="0"/>
        <w:adjustRightInd w:val="0"/>
        <w:snapToGrid w:val="0"/>
        <w:spacing w:line="576" w:lineRule="exact"/>
        <w:ind w:firstLine="652" w:firstLineChars="200"/>
        <w:jc w:val="both"/>
        <w:textAlignment w:val="baseline"/>
        <w:rPr>
          <w:rFonts w:ascii="黑体" w:hAnsi="黑体" w:eastAsia="黑体" w:cs="黑体"/>
          <w:sz w:val="31"/>
          <w:szCs w:val="31"/>
        </w:rPr>
      </w:pPr>
      <w:r>
        <w:rPr>
          <w:rFonts w:ascii="黑体" w:hAnsi="黑体" w:eastAsia="黑体" w:cs="黑体"/>
          <w:spacing w:val="8"/>
          <w:sz w:val="31"/>
          <w:szCs w:val="31"/>
        </w:rPr>
        <w:t>三、支出决算情况说明</w:t>
      </w:r>
    </w:p>
    <w:p w14:paraId="34B5D1B7">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本年支出合计1080.15万元，其中：基本支出918.55万元， 比上年增加236.20万元，增长35%，主要是人员经费增加；项目支出161.60万元，比上年减少3.59万元，下降2%，主要是项目支出减少；上缴上级支出0万元，比上年增加0万元，增长0%，主要是本单位无上缴上级支出；经营支出0万元，比上年增加0万元，增长0%，主要是本单位无经营支出；对附属单位补助支出0万元，比上年增加0万元，增长0%，主要是本单位无附属单位补助支出。</w:t>
      </w:r>
    </w:p>
    <w:p w14:paraId="2AF26E33">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pacing w:val="4"/>
          <w:sz w:val="32"/>
          <w:szCs w:val="32"/>
        </w:rPr>
      </w:pPr>
    </w:p>
    <w:p w14:paraId="01B22099">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z w:val="32"/>
          <w:szCs w:val="32"/>
        </w:rPr>
      </w:pPr>
      <w:r>
        <w:rPr>
          <w:rFonts w:ascii="黑体" w:hAnsi="黑体" w:eastAsia="黑体" w:cs="黑体"/>
          <w:spacing w:val="8"/>
          <w:sz w:val="32"/>
          <w:szCs w:val="32"/>
        </w:rPr>
        <w:t>四、财政拨款收入支出决算总体情况说明</w:t>
      </w:r>
    </w:p>
    <w:p w14:paraId="17DDEE1F">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2023年度财政拨款收、支总计均为1084.74、1080.15万元，与2022年相比，财政拨款收、支总计各增加236.33、232.62万元，增长28%、27%。主要原因：人员经费增加。</w:t>
      </w:r>
    </w:p>
    <w:p w14:paraId="4D432847">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p>
    <w:p w14:paraId="19AD0B27">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52" w:firstLineChars="200"/>
        <w:jc w:val="left"/>
        <w:textAlignment w:val="top"/>
        <w:outlineLvl w:val="9"/>
        <w:rPr>
          <w:rFonts w:ascii="黑体" w:hAnsi="黑体" w:eastAsia="黑体" w:cs="黑体"/>
          <w:sz w:val="31"/>
          <w:szCs w:val="31"/>
        </w:rPr>
      </w:pPr>
      <w:r>
        <w:rPr>
          <w:rFonts w:ascii="黑体" w:hAnsi="黑体" w:eastAsia="黑体" w:cs="黑体"/>
          <w:spacing w:val="8"/>
          <w:sz w:val="31"/>
          <w:szCs w:val="31"/>
        </w:rPr>
        <w:t>五、一般公共预算财政拨款支出决算情况说明</w:t>
      </w:r>
    </w:p>
    <w:p w14:paraId="69F4EEB0">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39" w:firstLineChars="200"/>
        <w:jc w:val="left"/>
        <w:textAlignment w:val="top"/>
        <w:outlineLvl w:val="9"/>
        <w:rPr>
          <w:rFonts w:hint="eastAsia" w:ascii="楷体_GB2312" w:hAnsi="楷体_GB2312" w:eastAsia="楷体_GB2312" w:cs="楷体_GB2312"/>
          <w:sz w:val="32"/>
          <w:szCs w:val="32"/>
        </w:rPr>
      </w:pPr>
      <w:r>
        <w:rPr>
          <w:rFonts w:hint="eastAsia" w:ascii="楷体_GB2312" w:hAnsi="楷体_GB2312" w:eastAsia="楷体_GB2312" w:cs="楷体_GB2312"/>
          <w:b/>
          <w:bCs/>
          <w:spacing w:val="-1"/>
          <w:sz w:val="32"/>
          <w:szCs w:val="32"/>
        </w:rPr>
        <w:t>（</w:t>
      </w:r>
      <w:r>
        <w:rPr>
          <w:rFonts w:hint="eastAsia" w:ascii="楷体_GB2312" w:hAnsi="楷体_GB2312" w:eastAsia="楷体_GB2312" w:cs="楷体_GB2312"/>
          <w:spacing w:val="-63"/>
          <w:sz w:val="32"/>
          <w:szCs w:val="32"/>
        </w:rPr>
        <w:t xml:space="preserve"> </w:t>
      </w:r>
      <w:r>
        <w:rPr>
          <w:rFonts w:hint="eastAsia" w:ascii="楷体_GB2312" w:hAnsi="楷体_GB2312" w:eastAsia="楷体_GB2312" w:cs="楷体_GB2312"/>
          <w:b/>
          <w:bCs/>
          <w:spacing w:val="-1"/>
          <w:sz w:val="32"/>
          <w:szCs w:val="32"/>
        </w:rPr>
        <w:t>一</w:t>
      </w:r>
      <w:r>
        <w:rPr>
          <w:rFonts w:hint="eastAsia" w:ascii="楷体_GB2312" w:hAnsi="楷体_GB2312" w:eastAsia="楷体_GB2312" w:cs="楷体_GB2312"/>
          <w:spacing w:val="-65"/>
          <w:sz w:val="32"/>
          <w:szCs w:val="32"/>
        </w:rPr>
        <w:t xml:space="preserve"> </w:t>
      </w:r>
      <w:r>
        <w:rPr>
          <w:rFonts w:hint="eastAsia" w:ascii="楷体_GB2312" w:hAnsi="楷体_GB2312" w:eastAsia="楷体_GB2312" w:cs="楷体_GB2312"/>
          <w:b/>
          <w:bCs/>
          <w:spacing w:val="-1"/>
          <w:sz w:val="32"/>
          <w:szCs w:val="32"/>
        </w:rPr>
        <w:t>）一般公共预算财政拨款支出决算总体情况</w:t>
      </w:r>
    </w:p>
    <w:p w14:paraId="7013B51D">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2023年度一般公共预算财政拨款支出1080.15万元，占本年支出合计的94%。与2022年度相比，一般公共预算财政拨款支出增加232.62万元，增长27%。主要原因：人员经费增加。</w:t>
      </w:r>
    </w:p>
    <w:p w14:paraId="0F7D8148">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39" w:firstLineChars="200"/>
        <w:jc w:val="left"/>
        <w:textAlignment w:val="top"/>
        <w:outlineLvl w:val="9"/>
        <w:rPr>
          <w:rFonts w:hint="eastAsia" w:ascii="楷体_GB2312" w:hAnsi="楷体_GB2312" w:eastAsia="楷体_GB2312" w:cs="楷体_GB2312"/>
          <w:b/>
          <w:bCs/>
          <w:color w:val="000000" w:themeColor="text1"/>
          <w:spacing w:val="-1"/>
          <w:sz w:val="32"/>
          <w:szCs w:val="32"/>
          <w14:textFill>
            <w14:solidFill>
              <w14:schemeClr w14:val="tx1"/>
            </w14:solidFill>
          </w14:textFill>
        </w:rPr>
      </w:pPr>
      <w:r>
        <w:rPr>
          <w:rFonts w:hint="eastAsia" w:ascii="楷体_GB2312" w:hAnsi="楷体_GB2312" w:eastAsia="楷体_GB2312" w:cs="楷体_GB2312"/>
          <w:b/>
          <w:bCs/>
          <w:color w:val="000000" w:themeColor="text1"/>
          <w:spacing w:val="-1"/>
          <w:sz w:val="32"/>
          <w:szCs w:val="32"/>
          <w14:textFill>
            <w14:solidFill>
              <w14:schemeClr w14:val="tx1"/>
            </w14:solidFill>
          </w14:textFill>
        </w:rPr>
        <w:t>（二） 一般公共预算财政拨款支出决算结构情况</w:t>
      </w:r>
    </w:p>
    <w:p w14:paraId="0411462E">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2023年度一般公共预算财政拨款支出1080.15万元，主要用于以下方面：一般公共服务支出958.07万元，占89%；住房保障支出122.08万元，占11%。</w:t>
      </w:r>
    </w:p>
    <w:p w14:paraId="48935F90">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39" w:firstLineChars="200"/>
        <w:jc w:val="left"/>
        <w:textAlignment w:val="top"/>
        <w:outlineLvl w:val="9"/>
        <w:rPr>
          <w:rFonts w:hint="eastAsia" w:ascii="楷体_GB2312" w:hAnsi="楷体_GB2312" w:eastAsia="楷体_GB2312" w:cs="楷体_GB2312"/>
          <w:b/>
          <w:bCs/>
          <w:color w:val="000000" w:themeColor="text1"/>
          <w:spacing w:val="-1"/>
          <w:sz w:val="32"/>
          <w:szCs w:val="32"/>
          <w14:textFill>
            <w14:solidFill>
              <w14:schemeClr w14:val="tx1"/>
            </w14:solidFill>
          </w14:textFill>
        </w:rPr>
      </w:pPr>
      <w:r>
        <w:rPr>
          <w:rFonts w:hint="eastAsia" w:ascii="楷体_GB2312" w:hAnsi="楷体_GB2312" w:eastAsia="楷体_GB2312" w:cs="楷体_GB2312"/>
          <w:b/>
          <w:bCs/>
          <w:color w:val="000000" w:themeColor="text1"/>
          <w:spacing w:val="-1"/>
          <w:sz w:val="32"/>
          <w:szCs w:val="32"/>
          <w14:textFill>
            <w14:solidFill>
              <w14:schemeClr w14:val="tx1"/>
            </w14:solidFill>
          </w14:textFill>
        </w:rPr>
        <w:t>（三） 一般公共预算财政拨款支出决算具体情况</w:t>
      </w:r>
    </w:p>
    <w:p w14:paraId="0F8783CA">
      <w:pPr>
        <w:keepNext w:val="0"/>
        <w:keepLines w:val="0"/>
        <w:pageBreakBefore w:val="0"/>
        <w:widowControl w:val="0"/>
        <w:kinsoku w:val="0"/>
        <w:wordWrap/>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2023 年度一般公共预算财政拨款支出年初预算为1233万元，支出决算为1080.15万元，完成年初预算的88%。其中：</w:t>
      </w:r>
    </w:p>
    <w:p w14:paraId="4512BA11">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1.一般公共服务（类）财政事务（款）行政运行（项）。年初预算为353.01万元，支出决算为305.56元，完成年初预算的87%。决算数小于预算数的主要原因是压缩基本支出。</w:t>
      </w:r>
    </w:p>
    <w:p w14:paraId="0BFFBE2C">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2.一般公共服务（类）财政事务（款）一般行政管理事务（项）。年初预算为232万元，支出决算为127.60万元，完成年初预算的55%。决算数小于预算数的主要原因是项目支出减少。</w:t>
      </w:r>
    </w:p>
    <w:p w14:paraId="4547A635">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 xml:space="preserve">3.一般公共服务（类）财政事务（款）国库业务（项）。年初预算为35万元，支出决算为34万元，完成年初预算的97 %。决算数小于预算数的主要原因是一体化项目支出减少。 </w:t>
      </w:r>
    </w:p>
    <w:p w14:paraId="696642E9">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 xml:space="preserve">4.一般公共服务（类）财政事务（款）事业运行（项）。年初预算为490.91万元，支出决算为490.91万元，完成年初预算的100%。 </w:t>
      </w:r>
    </w:p>
    <w:p w14:paraId="34FA6EE2">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5.住房保障（类）住房改革（款）住房公积金（项）。 年初预算为122.08万元，支出决算为122.08万元，完成年初预算的100%。</w:t>
      </w:r>
    </w:p>
    <w:p w14:paraId="53EC23EE">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pacing w:val="8"/>
          <w:sz w:val="32"/>
          <w:szCs w:val="32"/>
        </w:rPr>
      </w:pPr>
    </w:p>
    <w:p w14:paraId="0C54C8A0">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z w:val="32"/>
          <w:szCs w:val="32"/>
        </w:rPr>
      </w:pPr>
      <w:r>
        <w:rPr>
          <w:rFonts w:ascii="黑体" w:hAnsi="黑体" w:eastAsia="黑体" w:cs="黑体"/>
          <w:spacing w:val="8"/>
          <w:sz w:val="32"/>
          <w:szCs w:val="32"/>
        </w:rPr>
        <w:t>六、一般公共预算财政拨款基本支出决算情况说明</w:t>
      </w:r>
    </w:p>
    <w:p w14:paraId="65558622">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lang w:val="en-US" w:eastAsia="zh-CN"/>
        </w:rPr>
        <w:t>2023年度一般公共预算财政拨款基本支出918.55万元，其中：</w:t>
      </w:r>
    </w:p>
    <w:p w14:paraId="706FC237">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9"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b/>
          <w:bCs/>
          <w:spacing w:val="4"/>
          <w:sz w:val="32"/>
          <w:szCs w:val="32"/>
          <w:lang w:val="en-US" w:eastAsia="zh-CN"/>
        </w:rPr>
        <w:t>人员经费836.27万元，</w:t>
      </w:r>
      <w:r>
        <w:rPr>
          <w:rFonts w:hint="eastAsia" w:ascii="仿宋_GB2312" w:hAnsi="仿宋_GB2312" w:eastAsia="仿宋_GB2312" w:cs="仿宋_GB2312"/>
          <w:spacing w:val="4"/>
          <w:sz w:val="32"/>
          <w:szCs w:val="32"/>
          <w:lang w:val="en-US" w:eastAsia="zh-CN"/>
        </w:rPr>
        <w:t>主要包括：基本工资、津贴补贴、奖金、绩效工资、退休费、机关事业单位基本养老保险缴费、职业年金缴费、职工基本医疗保险缴费、其他社会保障缴费、住房公积金、生活补助、其他对个人和家庭的补助。</w:t>
      </w:r>
    </w:p>
    <w:p w14:paraId="3B7679B8">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9" w:firstLineChars="200"/>
        <w:jc w:val="left"/>
        <w:textAlignment w:val="top"/>
        <w:outlineLvl w:val="9"/>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b/>
          <w:bCs/>
          <w:spacing w:val="4"/>
          <w:sz w:val="32"/>
          <w:szCs w:val="32"/>
          <w:lang w:val="en-US" w:eastAsia="zh-CN"/>
        </w:rPr>
        <w:t>公用经费82.28万元，</w:t>
      </w:r>
      <w:r>
        <w:rPr>
          <w:rFonts w:hint="eastAsia" w:ascii="仿宋_GB2312" w:hAnsi="仿宋_GB2312" w:eastAsia="仿宋_GB2312" w:cs="仿宋_GB2312"/>
          <w:spacing w:val="4"/>
          <w:sz w:val="32"/>
          <w:szCs w:val="32"/>
          <w:lang w:val="en-US" w:eastAsia="en-US"/>
        </w:rPr>
        <w:t>主要包括：办公费、印刷费手续费、邮电费、差旅费、维修（护）费、委托业务费、工会经费、其他交通费用</w:t>
      </w:r>
      <w:r>
        <w:rPr>
          <w:rFonts w:hint="eastAsia" w:ascii="仿宋_GB2312" w:hAnsi="仿宋_GB2312" w:eastAsia="仿宋_GB2312" w:cs="仿宋_GB2312"/>
          <w:spacing w:val="4"/>
          <w:sz w:val="32"/>
          <w:szCs w:val="32"/>
          <w:lang w:val="en-US" w:eastAsia="zh-CN"/>
        </w:rPr>
        <w:t>。</w:t>
      </w:r>
    </w:p>
    <w:p w14:paraId="4B0EDF71">
      <w:pPr>
        <w:keepNext w:val="0"/>
        <w:keepLines w:val="0"/>
        <w:pageBreakBefore w:val="0"/>
        <w:widowControl w:val="0"/>
        <w:kinsoku/>
        <w:wordWrap w:val="0"/>
        <w:overflowPunct/>
        <w:topLinePunct w:val="0"/>
        <w:autoSpaceDE w:val="0"/>
        <w:autoSpaceDN w:val="0"/>
        <w:bidi w:val="0"/>
        <w:adjustRightInd w:val="0"/>
        <w:snapToGrid w:val="0"/>
        <w:spacing w:line="576" w:lineRule="exact"/>
        <w:ind w:left="0" w:right="0" w:firstLine="656" w:firstLineChars="200"/>
        <w:jc w:val="left"/>
        <w:textAlignment w:val="top"/>
        <w:outlineLvl w:val="9"/>
        <w:rPr>
          <w:rFonts w:hint="eastAsia" w:ascii="仿宋_GB2312" w:hAnsi="仿宋_GB2312" w:eastAsia="仿宋_GB2312" w:cs="仿宋_GB2312"/>
          <w:spacing w:val="4"/>
          <w:sz w:val="32"/>
          <w:szCs w:val="32"/>
          <w:lang w:val="en-US" w:eastAsia="zh-CN"/>
        </w:rPr>
      </w:pPr>
    </w:p>
    <w:p w14:paraId="3CD8A38E">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6" w:firstLineChars="200"/>
        <w:jc w:val="left"/>
        <w:textAlignment w:val="baseline"/>
        <w:outlineLvl w:val="9"/>
        <w:rPr>
          <w:rFonts w:ascii="黑体" w:hAnsi="黑体" w:eastAsia="黑体" w:cs="黑体"/>
          <w:sz w:val="32"/>
          <w:szCs w:val="32"/>
        </w:rPr>
      </w:pPr>
      <w:r>
        <w:rPr>
          <w:rFonts w:ascii="黑体" w:hAnsi="黑体" w:eastAsia="黑体" w:cs="黑体"/>
          <w:spacing w:val="9"/>
          <w:sz w:val="32"/>
          <w:szCs w:val="32"/>
        </w:rPr>
        <w:t>七、政府性基金预算财政拨款收入支出决算</w:t>
      </w:r>
      <w:r>
        <w:rPr>
          <w:rFonts w:ascii="黑体" w:hAnsi="黑体" w:eastAsia="黑体" w:cs="黑体"/>
          <w:spacing w:val="8"/>
          <w:sz w:val="32"/>
          <w:szCs w:val="32"/>
        </w:rPr>
        <w:t>情况说明</w:t>
      </w:r>
    </w:p>
    <w:p w14:paraId="4FA99CC1">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2023年度政府性基金预算财政拨款年初结转和结余  万元；本年收入</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w:t>
      </w:r>
      <w:r>
        <w:rPr>
          <w:rFonts w:hint="eastAsia" w:ascii="仿宋_GB2312" w:hAnsi="仿宋_GB2312" w:eastAsia="仿宋_GB2312" w:cs="仿宋_GB2312"/>
          <w:snapToGrid w:val="0"/>
          <w:color w:val="000000"/>
          <w:spacing w:val="4"/>
          <w:kern w:val="0"/>
          <w:sz w:val="32"/>
          <w:szCs w:val="32"/>
          <w:lang w:val="en-US" w:eastAsia="zh-CN" w:bidi="ar-SA"/>
        </w:rPr>
        <w:t>，</w:t>
      </w:r>
      <w:r>
        <w:rPr>
          <w:rFonts w:hint="eastAsia" w:ascii="仿宋_GB2312" w:hAnsi="仿宋_GB2312" w:eastAsia="仿宋_GB2312" w:cs="仿宋_GB2312"/>
          <w:snapToGrid w:val="0"/>
          <w:color w:val="000000"/>
          <w:spacing w:val="4"/>
          <w:kern w:val="0"/>
          <w:sz w:val="32"/>
          <w:szCs w:val="32"/>
          <w:lang w:val="en-US" w:eastAsia="en-US" w:bidi="ar-SA"/>
        </w:rPr>
        <w:t>本年支出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w:t>
      </w:r>
      <w:r>
        <w:rPr>
          <w:rFonts w:hint="eastAsia" w:ascii="仿宋_GB2312" w:hAnsi="仿宋_GB2312" w:eastAsia="仿宋_GB2312" w:cs="仿宋_GB2312"/>
          <w:snapToGrid w:val="0"/>
          <w:color w:val="000000"/>
          <w:spacing w:val="4"/>
          <w:kern w:val="0"/>
          <w:sz w:val="32"/>
          <w:szCs w:val="32"/>
          <w:lang w:val="en-US" w:eastAsia="zh-CN" w:bidi="ar-SA"/>
        </w:rPr>
        <w:t>，</w:t>
      </w:r>
      <w:r>
        <w:rPr>
          <w:rFonts w:hint="eastAsia" w:ascii="仿宋_GB2312" w:hAnsi="仿宋_GB2312" w:eastAsia="仿宋_GB2312" w:cs="仿宋_GB2312"/>
          <w:snapToGrid w:val="0"/>
          <w:color w:val="000000"/>
          <w:spacing w:val="4"/>
          <w:kern w:val="0"/>
          <w:sz w:val="32"/>
          <w:szCs w:val="32"/>
          <w:lang w:val="en-US" w:eastAsia="en-US" w:bidi="ar-SA"/>
        </w:rPr>
        <w:t>年末结转和结余</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  元。</w:t>
      </w:r>
    </w:p>
    <w:p w14:paraId="4B590143">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p>
    <w:p w14:paraId="580A939E">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68" w:firstLineChars="200"/>
        <w:jc w:val="left"/>
        <w:textAlignment w:val="baseline"/>
        <w:outlineLvl w:val="9"/>
        <w:rPr>
          <w:rFonts w:ascii="黑体" w:hAnsi="黑体" w:eastAsia="黑体" w:cs="黑体"/>
          <w:sz w:val="32"/>
          <w:szCs w:val="32"/>
        </w:rPr>
      </w:pPr>
      <w:r>
        <w:rPr>
          <w:rFonts w:ascii="黑体" w:hAnsi="黑体" w:eastAsia="黑体" w:cs="黑体"/>
          <w:spacing w:val="7"/>
          <w:sz w:val="32"/>
          <w:szCs w:val="32"/>
        </w:rPr>
        <w:t>八、国有资本经营预算财政拨款支出决算情况说明</w:t>
      </w:r>
    </w:p>
    <w:p w14:paraId="2E479F53">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2023年度国有资本经营预算年初结转和结余</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万元；本年收入</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w:t>
      </w:r>
      <w:r>
        <w:rPr>
          <w:rFonts w:hint="eastAsia" w:ascii="仿宋_GB2312" w:hAnsi="仿宋_GB2312" w:eastAsia="仿宋_GB2312" w:cs="仿宋_GB2312"/>
          <w:snapToGrid w:val="0"/>
          <w:color w:val="000000"/>
          <w:spacing w:val="4"/>
          <w:kern w:val="0"/>
          <w:sz w:val="32"/>
          <w:szCs w:val="32"/>
          <w:lang w:val="en-US" w:eastAsia="zh-CN" w:bidi="ar-SA"/>
        </w:rPr>
        <w:t>，</w:t>
      </w:r>
      <w:r>
        <w:rPr>
          <w:rFonts w:hint="eastAsia" w:ascii="仿宋_GB2312" w:hAnsi="仿宋_GB2312" w:eastAsia="仿宋_GB2312" w:cs="仿宋_GB2312"/>
          <w:snapToGrid w:val="0"/>
          <w:color w:val="000000"/>
          <w:spacing w:val="4"/>
          <w:kern w:val="0"/>
          <w:sz w:val="32"/>
          <w:szCs w:val="32"/>
          <w:lang w:val="en-US" w:eastAsia="en-US" w:bidi="ar-SA"/>
        </w:rPr>
        <w:t>本年支出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万元，年末结转和结余</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w:t>
      </w:r>
    </w:p>
    <w:p w14:paraId="401DE731">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pacing w:val="8"/>
          <w:sz w:val="32"/>
          <w:szCs w:val="32"/>
        </w:rPr>
      </w:pPr>
    </w:p>
    <w:p w14:paraId="7B6CF9A5">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72" w:firstLineChars="200"/>
        <w:jc w:val="left"/>
        <w:textAlignment w:val="baseline"/>
        <w:outlineLvl w:val="9"/>
        <w:rPr>
          <w:rFonts w:ascii="黑体" w:hAnsi="黑体" w:eastAsia="黑体" w:cs="黑体"/>
          <w:sz w:val="32"/>
          <w:szCs w:val="32"/>
        </w:rPr>
      </w:pPr>
      <w:r>
        <w:rPr>
          <w:rFonts w:ascii="黑体" w:hAnsi="黑体" w:eastAsia="黑体" w:cs="黑体"/>
          <w:spacing w:val="8"/>
          <w:sz w:val="32"/>
          <w:szCs w:val="32"/>
        </w:rPr>
        <w:t>九、财政拨款“三公”经费支出决算情况说明</w:t>
      </w:r>
    </w:p>
    <w:p w14:paraId="6CB96C57">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（一）“三公”经费财政拨款支出决算总体情况说明</w:t>
      </w:r>
    </w:p>
    <w:p w14:paraId="00718B4F">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2023 年度“三公”经费财政拨款支出预算为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万元，支</w:t>
      </w:r>
    </w:p>
    <w:p w14:paraId="7835EAAB">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出决算为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万元，完成预算的</w:t>
      </w:r>
      <w:r>
        <w:rPr>
          <w:rFonts w:hint="eastAsia" w:ascii="仿宋_GB2312" w:hAnsi="仿宋_GB2312" w:eastAsia="仿宋_GB2312" w:cs="仿宋_GB2312"/>
          <w:snapToGrid w:val="0"/>
          <w:color w:val="000000"/>
          <w:spacing w:val="4"/>
          <w:kern w:val="0"/>
          <w:sz w:val="32"/>
          <w:szCs w:val="32"/>
          <w:lang w:val="en-US" w:eastAsia="zh-CN" w:bidi="ar-SA"/>
        </w:rPr>
        <w:t>100</w:t>
      </w:r>
      <w:r>
        <w:rPr>
          <w:rFonts w:hint="eastAsia" w:ascii="仿宋_GB2312" w:hAnsi="仿宋_GB2312" w:eastAsia="仿宋_GB2312" w:cs="仿宋_GB2312"/>
          <w:snapToGrid w:val="0"/>
          <w:color w:val="000000"/>
          <w:spacing w:val="4"/>
          <w:kern w:val="0"/>
          <w:sz w:val="32"/>
          <w:szCs w:val="32"/>
          <w:lang w:val="en-US" w:eastAsia="en-US" w:bidi="ar-SA"/>
        </w:rPr>
        <w:t>%；较2022年度增加</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万元，增长</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%，主要原因是</w:t>
      </w:r>
      <w:r>
        <w:rPr>
          <w:rFonts w:hint="eastAsia" w:ascii="仿宋_GB2312" w:hAnsi="仿宋_GB2312" w:eastAsia="仿宋_GB2312" w:cs="仿宋_GB2312"/>
          <w:snapToGrid w:val="0"/>
          <w:color w:val="000000"/>
          <w:spacing w:val="4"/>
          <w:kern w:val="0"/>
          <w:sz w:val="32"/>
          <w:szCs w:val="32"/>
          <w:lang w:val="en-US" w:eastAsia="zh-CN" w:bidi="ar-SA"/>
        </w:rPr>
        <w:t>本单位无“三公”经费</w:t>
      </w:r>
      <w:r>
        <w:rPr>
          <w:rFonts w:hint="eastAsia" w:ascii="仿宋_GB2312" w:hAnsi="仿宋_GB2312" w:eastAsia="仿宋_GB2312" w:cs="仿宋_GB2312"/>
          <w:snapToGrid w:val="0"/>
          <w:color w:val="000000"/>
          <w:spacing w:val="4"/>
          <w:kern w:val="0"/>
          <w:sz w:val="32"/>
          <w:szCs w:val="32"/>
          <w:lang w:val="en-US" w:eastAsia="en-US" w:bidi="ar-SA"/>
        </w:rPr>
        <w:t>。</w:t>
      </w:r>
    </w:p>
    <w:p w14:paraId="0BDF0006">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（二）“三公”经费财政拨款支出决算具体情况说明</w:t>
      </w:r>
    </w:p>
    <w:p w14:paraId="67D073B8">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1.因公出国（境）费预算为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万元,支出决算为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万元，完成预算的</w:t>
      </w:r>
      <w:r>
        <w:rPr>
          <w:rFonts w:hint="eastAsia" w:ascii="仿宋_GB2312" w:hAnsi="仿宋_GB2312" w:eastAsia="仿宋_GB2312" w:cs="仿宋_GB2312"/>
          <w:snapToGrid w:val="0"/>
          <w:color w:val="000000"/>
          <w:spacing w:val="4"/>
          <w:kern w:val="0"/>
          <w:sz w:val="32"/>
          <w:szCs w:val="32"/>
          <w:lang w:val="en-US" w:eastAsia="zh-CN" w:bidi="ar-SA"/>
        </w:rPr>
        <w:t>100</w:t>
      </w:r>
      <w:r>
        <w:rPr>
          <w:rFonts w:hint="eastAsia" w:ascii="仿宋_GB2312" w:hAnsi="仿宋_GB2312" w:eastAsia="仿宋_GB2312" w:cs="仿宋_GB2312"/>
          <w:snapToGrid w:val="0"/>
          <w:color w:val="000000"/>
          <w:spacing w:val="4"/>
          <w:kern w:val="0"/>
          <w:sz w:val="32"/>
          <w:szCs w:val="32"/>
          <w:lang w:val="en-US" w:eastAsia="en-US" w:bidi="ar-SA"/>
        </w:rPr>
        <w:t>%；支出决算较2022年度增加</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万元，增长</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%，主要原因本单位无“三公”经费。全年共有因公出国（境） 团组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个，因公出国（境）</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人次。</w:t>
      </w:r>
    </w:p>
    <w:p w14:paraId="3945CC07">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2.公务用车购置及运行费预算为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万元，支出决算为万元，完成预算的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%；较 2022年度增加</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万元，增长</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%，主要原因</w:t>
      </w:r>
      <w:r>
        <w:rPr>
          <w:rFonts w:hint="eastAsia" w:ascii="仿宋_GB2312" w:hAnsi="仿宋_GB2312" w:eastAsia="仿宋_GB2312" w:cs="仿宋_GB2312"/>
          <w:snapToGrid w:val="0"/>
          <w:color w:val="000000"/>
          <w:spacing w:val="4"/>
          <w:kern w:val="0"/>
          <w:sz w:val="32"/>
          <w:szCs w:val="32"/>
          <w:lang w:val="en-US" w:eastAsia="zh-CN" w:bidi="ar-SA"/>
        </w:rPr>
        <w:t>本单位无</w:t>
      </w:r>
      <w:r>
        <w:rPr>
          <w:rFonts w:hint="eastAsia" w:ascii="仿宋_GB2312" w:hAnsi="仿宋_GB2312" w:eastAsia="仿宋_GB2312" w:cs="仿宋_GB2312"/>
          <w:snapToGrid w:val="0"/>
          <w:color w:val="000000"/>
          <w:spacing w:val="4"/>
          <w:kern w:val="0"/>
          <w:sz w:val="32"/>
          <w:szCs w:val="32"/>
          <w:lang w:val="en-US" w:eastAsia="en-US" w:bidi="ar-SA"/>
        </w:rPr>
        <w:t>公务用车购置及运行费。其中：</w:t>
      </w:r>
    </w:p>
    <w:p w14:paraId="41109F42">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公务用车购置费支出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万元。主要是</w:t>
      </w:r>
      <w:r>
        <w:rPr>
          <w:rFonts w:hint="eastAsia" w:ascii="仿宋_GB2312" w:hAnsi="仿宋_GB2312" w:eastAsia="仿宋_GB2312" w:cs="仿宋_GB2312"/>
          <w:snapToGrid w:val="0"/>
          <w:color w:val="000000"/>
          <w:spacing w:val="4"/>
          <w:kern w:val="0"/>
          <w:sz w:val="32"/>
          <w:szCs w:val="32"/>
          <w:lang w:val="en-US" w:eastAsia="zh-CN" w:bidi="ar-SA"/>
        </w:rPr>
        <w:t>本单位无“三公”经费</w:t>
      </w:r>
      <w:r>
        <w:rPr>
          <w:rFonts w:hint="eastAsia" w:ascii="仿宋_GB2312" w:hAnsi="仿宋_GB2312" w:eastAsia="仿宋_GB2312" w:cs="仿宋_GB2312"/>
          <w:snapToGrid w:val="0"/>
          <w:color w:val="000000"/>
          <w:spacing w:val="4"/>
          <w:kern w:val="0"/>
          <w:sz w:val="32"/>
          <w:szCs w:val="32"/>
          <w:lang w:val="en-US" w:eastAsia="en-US" w:bidi="ar-SA"/>
        </w:rPr>
        <w:t>；截至2023年12月31日，公务用车保有量为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辆,公务用车购置数为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w:t>
      </w:r>
    </w:p>
    <w:p w14:paraId="64DB9079">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公务用车运行维护费支出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万元，主要是</w:t>
      </w:r>
      <w:r>
        <w:rPr>
          <w:rFonts w:hint="eastAsia" w:ascii="仿宋_GB2312" w:hAnsi="仿宋_GB2312" w:eastAsia="仿宋_GB2312" w:cs="仿宋_GB2312"/>
          <w:snapToGrid w:val="0"/>
          <w:color w:val="000000"/>
          <w:spacing w:val="4"/>
          <w:kern w:val="0"/>
          <w:sz w:val="32"/>
          <w:szCs w:val="32"/>
          <w:lang w:val="en-US" w:eastAsia="zh-CN" w:bidi="ar-SA"/>
        </w:rPr>
        <w:t>本单位无“三公”经费</w:t>
      </w:r>
      <w:r>
        <w:rPr>
          <w:rFonts w:hint="eastAsia" w:ascii="仿宋_GB2312" w:hAnsi="仿宋_GB2312" w:eastAsia="仿宋_GB2312" w:cs="仿宋_GB2312"/>
          <w:snapToGrid w:val="0"/>
          <w:color w:val="000000"/>
          <w:spacing w:val="4"/>
          <w:kern w:val="0"/>
          <w:sz w:val="32"/>
          <w:szCs w:val="32"/>
          <w:lang w:val="en-US" w:eastAsia="en-US" w:bidi="ar-SA"/>
        </w:rPr>
        <w:t>。</w:t>
      </w:r>
    </w:p>
    <w:p w14:paraId="56C61726">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公务接待费预算为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万元，支出决算为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万元，完成预 算的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%；较2022年度增加</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万元，增长</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 xml:space="preserve"> %，主要原因是</w:t>
      </w:r>
      <w:r>
        <w:rPr>
          <w:rFonts w:hint="eastAsia" w:ascii="仿宋_GB2312" w:hAnsi="仿宋_GB2312" w:eastAsia="仿宋_GB2312" w:cs="仿宋_GB2312"/>
          <w:snapToGrid w:val="0"/>
          <w:color w:val="000000"/>
          <w:spacing w:val="4"/>
          <w:kern w:val="0"/>
          <w:sz w:val="32"/>
          <w:szCs w:val="32"/>
          <w:lang w:val="en-US" w:eastAsia="zh-CN" w:bidi="ar-SA"/>
        </w:rPr>
        <w:t>本单位无“三公”经费</w:t>
      </w:r>
      <w:r>
        <w:rPr>
          <w:rFonts w:hint="eastAsia" w:ascii="仿宋_GB2312" w:hAnsi="仿宋_GB2312" w:eastAsia="仿宋_GB2312" w:cs="仿宋_GB2312"/>
          <w:snapToGrid w:val="0"/>
          <w:color w:val="000000"/>
          <w:spacing w:val="4"/>
          <w:kern w:val="0"/>
          <w:sz w:val="32"/>
          <w:szCs w:val="32"/>
          <w:lang w:val="en-US" w:eastAsia="en-US" w:bidi="ar-SA"/>
        </w:rPr>
        <w:t>。其中：</w:t>
      </w:r>
    </w:p>
    <w:p w14:paraId="53947D17">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外事接待费支出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万元。全年共接待外事来访团组数</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个、来访外宾</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人次（不包括陪同人员）。</w:t>
      </w:r>
    </w:p>
    <w:p w14:paraId="17B14160">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其他国内公务接待支出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万元。主要用于</w:t>
      </w:r>
      <w:r>
        <w:rPr>
          <w:rFonts w:hint="eastAsia" w:ascii="仿宋_GB2312" w:hAnsi="仿宋_GB2312" w:eastAsia="仿宋_GB2312" w:cs="仿宋_GB2312"/>
          <w:snapToGrid w:val="0"/>
          <w:color w:val="000000"/>
          <w:spacing w:val="4"/>
          <w:kern w:val="0"/>
          <w:sz w:val="32"/>
          <w:szCs w:val="32"/>
          <w:lang w:val="en-US" w:eastAsia="zh-CN" w:bidi="ar-SA"/>
        </w:rPr>
        <w:t>本单位无“三公”经费</w:t>
      </w:r>
      <w:r>
        <w:rPr>
          <w:rFonts w:hint="eastAsia" w:ascii="仿宋_GB2312" w:hAnsi="仿宋_GB2312" w:eastAsia="仿宋_GB2312" w:cs="仿宋_GB2312"/>
          <w:snapToGrid w:val="0"/>
          <w:color w:val="000000"/>
          <w:spacing w:val="4"/>
          <w:kern w:val="0"/>
          <w:sz w:val="32"/>
          <w:szCs w:val="32"/>
          <w:lang w:val="en-US" w:eastAsia="en-US" w:bidi="ar-SA"/>
        </w:rPr>
        <w:t>。全年共接待国内来访团组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个、来宾</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人次（不包括陪同人员）。</w:t>
      </w:r>
    </w:p>
    <w:p w14:paraId="7C59F351">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64" w:firstLineChars="200"/>
        <w:jc w:val="left"/>
        <w:textAlignment w:val="baseline"/>
        <w:outlineLvl w:val="9"/>
        <w:rPr>
          <w:rFonts w:ascii="黑体" w:hAnsi="黑体" w:eastAsia="黑体" w:cs="黑体"/>
          <w:spacing w:val="6"/>
          <w:sz w:val="32"/>
          <w:szCs w:val="32"/>
        </w:rPr>
      </w:pPr>
    </w:p>
    <w:p w14:paraId="349E2ACA">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64" w:firstLineChars="200"/>
        <w:jc w:val="left"/>
        <w:textAlignment w:val="baseline"/>
        <w:outlineLvl w:val="9"/>
        <w:rPr>
          <w:rFonts w:ascii="黑体" w:hAnsi="黑体" w:eastAsia="黑体" w:cs="黑体"/>
          <w:sz w:val="32"/>
          <w:szCs w:val="32"/>
        </w:rPr>
      </w:pPr>
      <w:r>
        <w:rPr>
          <w:rFonts w:ascii="黑体" w:hAnsi="黑体" w:eastAsia="黑体" w:cs="黑体"/>
          <w:spacing w:val="6"/>
          <w:sz w:val="32"/>
          <w:szCs w:val="32"/>
        </w:rPr>
        <w:t>十、关于</w:t>
      </w:r>
      <w:r>
        <w:rPr>
          <w:rFonts w:ascii="黑体" w:hAnsi="黑体" w:eastAsia="黑体" w:cs="黑体"/>
          <w:spacing w:val="-52"/>
          <w:sz w:val="32"/>
          <w:szCs w:val="32"/>
        </w:rPr>
        <w:t xml:space="preserve"> </w:t>
      </w:r>
      <w:r>
        <w:rPr>
          <w:rFonts w:ascii="黑体" w:hAnsi="黑体" w:eastAsia="黑体" w:cs="黑体"/>
          <w:spacing w:val="6"/>
          <w:sz w:val="32"/>
          <w:szCs w:val="32"/>
        </w:rPr>
        <w:t>2023</w:t>
      </w:r>
      <w:r>
        <w:rPr>
          <w:rFonts w:ascii="黑体" w:hAnsi="黑体" w:eastAsia="黑体" w:cs="黑体"/>
          <w:spacing w:val="-63"/>
          <w:sz w:val="32"/>
          <w:szCs w:val="32"/>
        </w:rPr>
        <w:t xml:space="preserve"> </w:t>
      </w:r>
      <w:r>
        <w:rPr>
          <w:rFonts w:ascii="黑体" w:hAnsi="黑体" w:eastAsia="黑体" w:cs="黑体"/>
          <w:spacing w:val="6"/>
          <w:sz w:val="32"/>
          <w:szCs w:val="32"/>
        </w:rPr>
        <w:t>年度绩效评价情况说明</w:t>
      </w:r>
    </w:p>
    <w:p w14:paraId="11EA11FA">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sectPr>
          <w:footerReference r:id="rId11" w:type="default"/>
          <w:pgSz w:w="11907" w:h="16839"/>
          <w:pgMar w:top="1431" w:right="1774" w:bottom="1153" w:left="1785" w:header="0" w:footer="965" w:gutter="0"/>
          <w:pgNumType w:fmt="decimal"/>
          <w:cols w:space="720" w:num="1"/>
        </w:sectPr>
      </w:pPr>
      <w:r>
        <w:rPr>
          <w:rFonts w:hint="eastAsia" w:ascii="仿宋_GB2312" w:hAnsi="仿宋_GB2312" w:eastAsia="仿宋_GB2312" w:cs="仿宋_GB2312"/>
          <w:snapToGrid w:val="0"/>
          <w:color w:val="000000"/>
          <w:spacing w:val="4"/>
          <w:kern w:val="0"/>
          <w:sz w:val="32"/>
          <w:szCs w:val="32"/>
          <w:lang w:val="en-US" w:eastAsia="en-US" w:bidi="ar-SA"/>
        </w:rPr>
        <w:t>（一）绩效评价工作开展情况。绩效评价工作开展情况 说明为：根据预算绩效管理要求，本部门组织对2023年度 一般公共预算项目支出全面开展绩效自评，其中，一级</w:t>
      </w:r>
    </w:p>
    <w:p w14:paraId="2E2CED6E">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zh-CN" w:bidi="ar-SA"/>
        </w:rPr>
      </w:pPr>
      <w:r>
        <w:rPr>
          <w:rFonts w:hint="eastAsia" w:ascii="仿宋_GB2312" w:hAnsi="仿宋_GB2312" w:eastAsia="仿宋_GB2312" w:cs="仿宋_GB2312"/>
          <w:snapToGrid w:val="0"/>
          <w:color w:val="000000"/>
          <w:spacing w:val="4"/>
          <w:kern w:val="0"/>
          <w:sz w:val="32"/>
          <w:szCs w:val="32"/>
          <w:lang w:val="en-US" w:eastAsia="en-US" w:bidi="ar-SA"/>
        </w:rPr>
        <w:t>项目</w:t>
      </w:r>
      <w:r>
        <w:rPr>
          <w:rFonts w:hint="eastAsia" w:ascii="仿宋_GB2312" w:hAnsi="仿宋_GB2312" w:eastAsia="仿宋_GB2312" w:cs="仿宋_GB2312"/>
          <w:snapToGrid w:val="0"/>
          <w:color w:val="000000"/>
          <w:spacing w:val="4"/>
          <w:kern w:val="0"/>
          <w:sz w:val="32"/>
          <w:szCs w:val="32"/>
          <w:lang w:val="en-US" w:eastAsia="zh-CN" w:bidi="ar-SA"/>
        </w:rPr>
        <w:t>4</w:t>
      </w:r>
      <w:r>
        <w:rPr>
          <w:rFonts w:hint="eastAsia" w:ascii="仿宋_GB2312" w:hAnsi="仿宋_GB2312" w:eastAsia="仿宋_GB2312" w:cs="仿宋_GB2312"/>
          <w:snapToGrid w:val="0"/>
          <w:color w:val="000000"/>
          <w:spacing w:val="4"/>
          <w:kern w:val="0"/>
          <w:sz w:val="32"/>
          <w:szCs w:val="32"/>
          <w:lang w:val="en-US" w:eastAsia="en-US" w:bidi="ar-SA"/>
        </w:rPr>
        <w:t>个，二级项目</w:t>
      </w:r>
      <w:r>
        <w:rPr>
          <w:rFonts w:hint="eastAsia" w:ascii="仿宋_GB2312" w:hAnsi="仿宋_GB2312" w:eastAsia="仿宋_GB2312" w:cs="仿宋_GB2312"/>
          <w:snapToGrid w:val="0"/>
          <w:color w:val="000000"/>
          <w:spacing w:val="4"/>
          <w:kern w:val="0"/>
          <w:sz w:val="32"/>
          <w:szCs w:val="32"/>
          <w:lang w:val="en-US" w:eastAsia="zh-CN" w:bidi="ar-SA"/>
        </w:rPr>
        <w:t>14</w:t>
      </w:r>
      <w:r>
        <w:rPr>
          <w:rFonts w:hint="eastAsia" w:ascii="仿宋_GB2312" w:hAnsi="仿宋_GB2312" w:eastAsia="仿宋_GB2312" w:cs="仿宋_GB2312"/>
          <w:snapToGrid w:val="0"/>
          <w:color w:val="000000"/>
          <w:spacing w:val="4"/>
          <w:kern w:val="0"/>
          <w:sz w:val="32"/>
          <w:szCs w:val="32"/>
          <w:lang w:val="en-US" w:eastAsia="en-US" w:bidi="ar-SA"/>
        </w:rPr>
        <w:t>个，共涉及资金</w:t>
      </w:r>
      <w:r>
        <w:rPr>
          <w:rFonts w:hint="eastAsia" w:ascii="仿宋_GB2312" w:hAnsi="仿宋_GB2312" w:eastAsia="仿宋_GB2312" w:cs="仿宋_GB2312"/>
          <w:snapToGrid w:val="0"/>
          <w:color w:val="000000"/>
          <w:spacing w:val="4"/>
          <w:kern w:val="0"/>
          <w:sz w:val="32"/>
          <w:szCs w:val="32"/>
          <w:lang w:val="en-US" w:eastAsia="zh-CN" w:bidi="ar-SA"/>
        </w:rPr>
        <w:t>161.6</w:t>
      </w:r>
      <w:r>
        <w:rPr>
          <w:rFonts w:hint="eastAsia" w:ascii="仿宋_GB2312" w:hAnsi="仿宋_GB2312" w:eastAsia="仿宋_GB2312" w:cs="仿宋_GB2312"/>
          <w:snapToGrid w:val="0"/>
          <w:color w:val="000000"/>
          <w:spacing w:val="4"/>
          <w:kern w:val="0"/>
          <w:sz w:val="32"/>
          <w:szCs w:val="32"/>
          <w:lang w:val="en-US" w:eastAsia="en-US" w:bidi="ar-SA"/>
        </w:rPr>
        <w:t>万元，占一般公共预算项目支出总额的</w:t>
      </w:r>
      <w:r>
        <w:rPr>
          <w:rFonts w:hint="eastAsia" w:ascii="仿宋_GB2312" w:hAnsi="仿宋_GB2312" w:eastAsia="仿宋_GB2312" w:cs="仿宋_GB2312"/>
          <w:snapToGrid w:val="0"/>
          <w:color w:val="000000"/>
          <w:spacing w:val="4"/>
          <w:kern w:val="0"/>
          <w:sz w:val="32"/>
          <w:szCs w:val="32"/>
          <w:lang w:val="en-US" w:eastAsia="zh-CN" w:bidi="ar-SA"/>
        </w:rPr>
        <w:t>100</w:t>
      </w:r>
      <w:r>
        <w:rPr>
          <w:rFonts w:hint="eastAsia" w:ascii="仿宋_GB2312" w:hAnsi="仿宋_GB2312" w:eastAsia="仿宋_GB2312" w:cs="仿宋_GB2312"/>
          <w:snapToGrid w:val="0"/>
          <w:color w:val="000000"/>
          <w:spacing w:val="4"/>
          <w:kern w:val="0"/>
          <w:sz w:val="32"/>
          <w:szCs w:val="32"/>
          <w:lang w:val="en-US" w:eastAsia="en-US" w:bidi="ar-SA"/>
        </w:rPr>
        <w:t>%。组织对“</w:t>
      </w:r>
      <w:r>
        <w:rPr>
          <w:rFonts w:hint="eastAsia" w:ascii="仿宋_GB2312" w:hAnsi="仿宋_GB2312" w:eastAsia="仿宋_GB2312" w:cs="仿宋_GB2312"/>
          <w:snapToGrid w:val="0"/>
          <w:color w:val="000000"/>
          <w:spacing w:val="4"/>
          <w:kern w:val="0"/>
          <w:sz w:val="32"/>
          <w:szCs w:val="32"/>
          <w:lang w:val="en-US" w:eastAsia="zh-CN" w:bidi="ar-SA"/>
        </w:rPr>
        <w:t>2023年度非税科票据工本费</w:t>
      </w:r>
      <w:r>
        <w:rPr>
          <w:rFonts w:hint="eastAsia" w:ascii="仿宋_GB2312" w:hAnsi="仿宋_GB2312" w:eastAsia="仿宋_GB2312" w:cs="仿宋_GB2312"/>
          <w:snapToGrid w:val="0"/>
          <w:color w:val="000000"/>
          <w:spacing w:val="4"/>
          <w:kern w:val="0"/>
          <w:sz w:val="32"/>
          <w:szCs w:val="32"/>
          <w:lang w:val="en-US" w:eastAsia="en-US" w:bidi="ar-SA"/>
        </w:rPr>
        <w:t>”等</w:t>
      </w:r>
      <w:r>
        <w:rPr>
          <w:rFonts w:hint="eastAsia" w:ascii="仿宋_GB2312" w:hAnsi="仿宋_GB2312" w:eastAsia="仿宋_GB2312" w:cs="仿宋_GB2312"/>
          <w:snapToGrid w:val="0"/>
          <w:color w:val="000000"/>
          <w:spacing w:val="4"/>
          <w:kern w:val="0"/>
          <w:sz w:val="32"/>
          <w:szCs w:val="32"/>
          <w:lang w:val="en-US" w:eastAsia="zh-CN" w:bidi="ar-SA"/>
        </w:rPr>
        <w:t>1</w:t>
      </w:r>
      <w:r>
        <w:rPr>
          <w:rFonts w:hint="eastAsia" w:ascii="仿宋_GB2312" w:hAnsi="仿宋_GB2312" w:eastAsia="仿宋_GB2312" w:cs="仿宋_GB2312"/>
          <w:snapToGrid w:val="0"/>
          <w:color w:val="000000"/>
          <w:spacing w:val="4"/>
          <w:kern w:val="0"/>
          <w:sz w:val="32"/>
          <w:szCs w:val="32"/>
          <w:lang w:val="en-US" w:eastAsia="en-US" w:bidi="ar-SA"/>
        </w:rPr>
        <w:t>个项目开展了部门绩效评价，涉及一般公共预算支出</w:t>
      </w:r>
      <w:r>
        <w:rPr>
          <w:rFonts w:hint="eastAsia" w:ascii="仿宋_GB2312" w:hAnsi="仿宋_GB2312" w:eastAsia="仿宋_GB2312" w:cs="仿宋_GB2312"/>
          <w:snapToGrid w:val="0"/>
          <w:color w:val="000000"/>
          <w:spacing w:val="4"/>
          <w:kern w:val="0"/>
          <w:sz w:val="32"/>
          <w:szCs w:val="32"/>
          <w:lang w:val="en-US" w:eastAsia="zh-CN" w:bidi="ar-SA"/>
        </w:rPr>
        <w:t>28.80</w:t>
      </w:r>
      <w:r>
        <w:rPr>
          <w:rFonts w:hint="eastAsia" w:ascii="仿宋_GB2312" w:hAnsi="仿宋_GB2312" w:eastAsia="仿宋_GB2312" w:cs="仿宋_GB2312"/>
          <w:snapToGrid w:val="0"/>
          <w:color w:val="000000"/>
          <w:spacing w:val="4"/>
          <w:kern w:val="0"/>
          <w:sz w:val="32"/>
          <w:szCs w:val="32"/>
          <w:lang w:val="en-US" w:eastAsia="en-US" w:bidi="ar-SA"/>
        </w:rPr>
        <w:t>万元。从评价情况来看，</w:t>
      </w:r>
      <w:r>
        <w:rPr>
          <w:rFonts w:hint="eastAsia" w:ascii="仿宋_GB2312" w:hAnsi="仿宋_GB2312" w:eastAsia="仿宋_GB2312" w:cs="仿宋_GB2312"/>
          <w:snapToGrid w:val="0"/>
          <w:color w:val="000000"/>
          <w:spacing w:val="4"/>
          <w:kern w:val="0"/>
          <w:sz w:val="32"/>
          <w:szCs w:val="32"/>
          <w:lang w:val="en-US" w:eastAsia="zh-CN" w:bidi="ar-SA"/>
        </w:rPr>
        <w:t>我局非税收入管理科积极推进电子票据管理改革进度，督促各单位办理财政电子票据管理信息系统，我区非税收入已全部实行电子化收缴。</w:t>
      </w:r>
    </w:p>
    <w:p w14:paraId="6735908E">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zh-CN" w:bidi="ar-SA"/>
        </w:rPr>
      </w:pPr>
      <w:r>
        <w:rPr>
          <w:rFonts w:hint="eastAsia" w:ascii="仿宋_GB2312" w:hAnsi="仿宋_GB2312" w:eastAsia="仿宋_GB2312" w:cs="仿宋_GB2312"/>
          <w:snapToGrid w:val="0"/>
          <w:color w:val="000000"/>
          <w:spacing w:val="4"/>
          <w:kern w:val="0"/>
          <w:sz w:val="32"/>
          <w:szCs w:val="32"/>
          <w:lang w:val="en-US" w:eastAsia="en-US" w:bidi="ar-SA"/>
        </w:rPr>
        <w:t>组织对本部门开展整体支出绩效评价，涉及一般公共预 算支出</w:t>
      </w:r>
      <w:r>
        <w:rPr>
          <w:rFonts w:hint="eastAsia" w:ascii="仿宋_GB2312" w:hAnsi="仿宋_GB2312" w:eastAsia="仿宋_GB2312" w:cs="仿宋_GB2312"/>
          <w:snapToGrid w:val="0"/>
          <w:color w:val="000000"/>
          <w:spacing w:val="4"/>
          <w:kern w:val="0"/>
          <w:sz w:val="32"/>
          <w:szCs w:val="32"/>
          <w:lang w:val="en-US" w:eastAsia="zh-CN" w:bidi="ar-SA"/>
        </w:rPr>
        <w:t>161.60</w:t>
      </w:r>
      <w:r>
        <w:rPr>
          <w:rFonts w:hint="eastAsia" w:ascii="仿宋_GB2312" w:hAnsi="仿宋_GB2312" w:eastAsia="仿宋_GB2312" w:cs="仿宋_GB2312"/>
          <w:snapToGrid w:val="0"/>
          <w:color w:val="000000"/>
          <w:spacing w:val="4"/>
          <w:kern w:val="0"/>
          <w:sz w:val="32"/>
          <w:szCs w:val="32"/>
          <w:lang w:val="en-US" w:eastAsia="en-US" w:bidi="ar-SA"/>
        </w:rPr>
        <w:t>万元，政府性基金预算支出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w:t>
      </w:r>
      <w:r>
        <w:rPr>
          <w:rFonts w:hint="eastAsia" w:ascii="仿宋_GB2312" w:hAnsi="仿宋_GB2312" w:eastAsia="仿宋_GB2312" w:cs="仿宋_GB2312"/>
          <w:snapToGrid w:val="0"/>
          <w:color w:val="000000"/>
          <w:spacing w:val="4"/>
          <w:kern w:val="0"/>
          <w:sz w:val="32"/>
          <w:szCs w:val="32"/>
          <w:lang w:val="en-US" w:eastAsia="zh-CN" w:bidi="ar-SA"/>
        </w:rPr>
        <w:t>我单位</w:t>
      </w:r>
      <w:r>
        <w:rPr>
          <w:rFonts w:hint="eastAsia" w:ascii="仿宋_GB2312" w:hAnsi="仿宋_GB2312" w:eastAsia="仿宋_GB2312" w:cs="仿宋_GB2312"/>
          <w:snapToGrid w:val="0"/>
          <w:color w:val="000000"/>
          <w:spacing w:val="4"/>
          <w:kern w:val="0"/>
          <w:sz w:val="32"/>
          <w:szCs w:val="32"/>
          <w:lang w:val="en-US" w:eastAsia="en-US" w:bidi="ar-SA"/>
        </w:rPr>
        <w:t>全面贯彻中央、省市、区会议精神，坚定不移牢固树立过“紧日子”的思想，组织收入，控制支出，保障重点，强化预算，为南关经济社会高质量发展提供有力支撑</w:t>
      </w:r>
      <w:r>
        <w:rPr>
          <w:rFonts w:hint="eastAsia" w:ascii="仿宋_GB2312" w:hAnsi="仿宋_GB2312" w:eastAsia="仿宋_GB2312" w:cs="仿宋_GB2312"/>
          <w:snapToGrid w:val="0"/>
          <w:color w:val="000000"/>
          <w:spacing w:val="4"/>
          <w:kern w:val="0"/>
          <w:sz w:val="32"/>
          <w:szCs w:val="32"/>
          <w:lang w:val="en-US" w:eastAsia="zh-CN" w:bidi="ar-SA"/>
        </w:rPr>
        <w:t>。</w:t>
      </w:r>
    </w:p>
    <w:p w14:paraId="2CBD0980">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（二）项目绩效自评结果。除涉密敏感内容外，省级部门原则上应予以公开。按照如下格式说明 :</w:t>
      </w:r>
    </w:p>
    <w:p w14:paraId="717A3047">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zh-CN" w:bidi="ar-SA"/>
        </w:rPr>
        <w:t>2023年度非税科票据工本费</w:t>
      </w:r>
      <w:r>
        <w:rPr>
          <w:rFonts w:hint="eastAsia" w:ascii="仿宋_GB2312" w:hAnsi="仿宋_GB2312" w:eastAsia="仿宋_GB2312" w:cs="仿宋_GB2312"/>
          <w:snapToGrid w:val="0"/>
          <w:color w:val="000000"/>
          <w:spacing w:val="4"/>
          <w:kern w:val="0"/>
          <w:sz w:val="32"/>
          <w:szCs w:val="32"/>
          <w:lang w:val="en-US" w:eastAsia="en-US" w:bidi="ar-SA"/>
        </w:rPr>
        <w:t>项目绩效自评情况：根据年初设定的绩效目标，项目绩效自评得分为</w:t>
      </w:r>
      <w:r>
        <w:rPr>
          <w:rFonts w:hint="eastAsia" w:ascii="仿宋_GB2312" w:hAnsi="仿宋_GB2312" w:eastAsia="仿宋_GB2312" w:cs="仿宋_GB2312"/>
          <w:snapToGrid w:val="0"/>
          <w:color w:val="000000"/>
          <w:spacing w:val="4"/>
          <w:kern w:val="0"/>
          <w:sz w:val="32"/>
          <w:szCs w:val="32"/>
          <w:lang w:val="en-US" w:eastAsia="zh-CN" w:bidi="ar-SA"/>
        </w:rPr>
        <w:t>100</w:t>
      </w:r>
      <w:r>
        <w:rPr>
          <w:rFonts w:hint="eastAsia" w:ascii="仿宋_GB2312" w:hAnsi="仿宋_GB2312" w:eastAsia="仿宋_GB2312" w:cs="仿宋_GB2312"/>
          <w:snapToGrid w:val="0"/>
          <w:color w:val="000000"/>
          <w:spacing w:val="4"/>
          <w:kern w:val="0"/>
          <w:sz w:val="32"/>
          <w:szCs w:val="32"/>
          <w:lang w:val="en-US" w:eastAsia="en-US" w:bidi="ar-SA"/>
        </w:rPr>
        <w:t>分。项目全年预算数为</w:t>
      </w:r>
      <w:r>
        <w:rPr>
          <w:rFonts w:hint="eastAsia" w:ascii="仿宋_GB2312" w:hAnsi="仿宋_GB2312" w:eastAsia="仿宋_GB2312" w:cs="仿宋_GB2312"/>
          <w:snapToGrid w:val="0"/>
          <w:color w:val="000000"/>
          <w:spacing w:val="4"/>
          <w:kern w:val="0"/>
          <w:sz w:val="32"/>
          <w:szCs w:val="32"/>
          <w:lang w:val="en-US" w:eastAsia="zh-CN" w:bidi="ar-SA"/>
        </w:rPr>
        <w:t>25</w:t>
      </w:r>
      <w:r>
        <w:rPr>
          <w:rFonts w:hint="eastAsia" w:ascii="仿宋_GB2312" w:hAnsi="仿宋_GB2312" w:eastAsia="仿宋_GB2312" w:cs="仿宋_GB2312"/>
          <w:snapToGrid w:val="0"/>
          <w:color w:val="000000"/>
          <w:spacing w:val="4"/>
          <w:kern w:val="0"/>
          <w:sz w:val="32"/>
          <w:szCs w:val="32"/>
          <w:lang w:val="en-US" w:eastAsia="en-US" w:bidi="ar-SA"/>
        </w:rPr>
        <w:t>万元，执行数</w:t>
      </w:r>
      <w:r>
        <w:rPr>
          <w:rFonts w:hint="eastAsia" w:ascii="仿宋_GB2312" w:hAnsi="仿宋_GB2312" w:eastAsia="仿宋_GB2312" w:cs="仿宋_GB2312"/>
          <w:snapToGrid w:val="0"/>
          <w:color w:val="000000"/>
          <w:spacing w:val="4"/>
          <w:kern w:val="0"/>
          <w:sz w:val="32"/>
          <w:szCs w:val="32"/>
          <w:lang w:val="en-US" w:eastAsia="zh-CN" w:bidi="ar-SA"/>
        </w:rPr>
        <w:t>28.80</w:t>
      </w:r>
      <w:r>
        <w:rPr>
          <w:rFonts w:hint="eastAsia" w:ascii="仿宋_GB2312" w:hAnsi="仿宋_GB2312" w:eastAsia="仿宋_GB2312" w:cs="仿宋_GB2312"/>
          <w:snapToGrid w:val="0"/>
          <w:color w:val="000000"/>
          <w:spacing w:val="4"/>
          <w:kern w:val="0"/>
          <w:sz w:val="32"/>
          <w:szCs w:val="32"/>
          <w:lang w:val="en-US" w:eastAsia="en-US" w:bidi="ar-SA"/>
        </w:rPr>
        <w:t>万元，完成预算的</w:t>
      </w:r>
      <w:r>
        <w:rPr>
          <w:rFonts w:hint="eastAsia" w:ascii="仿宋_GB2312" w:hAnsi="仿宋_GB2312" w:eastAsia="仿宋_GB2312" w:cs="仿宋_GB2312"/>
          <w:snapToGrid w:val="0"/>
          <w:color w:val="000000"/>
          <w:spacing w:val="4"/>
          <w:kern w:val="0"/>
          <w:sz w:val="32"/>
          <w:szCs w:val="32"/>
          <w:lang w:val="en-US" w:eastAsia="zh-CN" w:bidi="ar-SA"/>
        </w:rPr>
        <w:t>115</w:t>
      </w:r>
      <w:r>
        <w:rPr>
          <w:rFonts w:hint="eastAsia" w:ascii="仿宋_GB2312" w:hAnsi="仿宋_GB2312" w:eastAsia="仿宋_GB2312" w:cs="仿宋_GB2312"/>
          <w:snapToGrid w:val="0"/>
          <w:color w:val="000000"/>
          <w:spacing w:val="4"/>
          <w:kern w:val="0"/>
          <w:sz w:val="32"/>
          <w:szCs w:val="32"/>
          <w:lang w:val="en-US" w:eastAsia="en-US" w:bidi="ar-SA"/>
        </w:rPr>
        <w:t>%。项目绩效目标完成情况：一是用于满足各用票单位财政票据需求；二是有效提升了相关部门工作效率。下一步改进措施：一是</w:t>
      </w:r>
      <w:r>
        <w:rPr>
          <w:rFonts w:hint="eastAsia" w:ascii="仿宋_GB2312" w:hAnsi="仿宋_GB2312" w:eastAsia="仿宋_GB2312" w:cs="仿宋_GB2312"/>
          <w:snapToGrid w:val="0"/>
          <w:color w:val="000000"/>
          <w:spacing w:val="4"/>
          <w:kern w:val="0"/>
          <w:sz w:val="32"/>
          <w:szCs w:val="32"/>
          <w:lang w:val="en-US" w:eastAsia="zh-CN" w:bidi="ar-SA"/>
        </w:rPr>
        <w:t>深入贯彻党的二十大</w:t>
      </w:r>
      <w:bookmarkStart w:id="0" w:name="_GoBack"/>
      <w:bookmarkEnd w:id="0"/>
      <w:r>
        <w:rPr>
          <w:rFonts w:hint="eastAsia" w:ascii="仿宋_GB2312" w:hAnsi="仿宋_GB2312" w:eastAsia="仿宋_GB2312" w:cs="仿宋_GB2312"/>
          <w:snapToGrid w:val="0"/>
          <w:color w:val="000000"/>
          <w:spacing w:val="4"/>
          <w:kern w:val="0"/>
          <w:sz w:val="32"/>
          <w:szCs w:val="32"/>
          <w:lang w:val="en-US" w:eastAsia="zh-CN" w:bidi="ar-SA"/>
        </w:rPr>
        <w:t>精神，严格落实财政部关于票据管理工作的部署要求；</w:t>
      </w:r>
      <w:r>
        <w:rPr>
          <w:rFonts w:hint="eastAsia" w:ascii="仿宋_GB2312" w:hAnsi="仿宋_GB2312" w:eastAsia="仿宋_GB2312" w:cs="仿宋_GB2312"/>
          <w:snapToGrid w:val="0"/>
          <w:color w:val="000000"/>
          <w:spacing w:val="4"/>
          <w:kern w:val="0"/>
          <w:sz w:val="32"/>
          <w:szCs w:val="32"/>
          <w:lang w:val="en-US" w:eastAsia="en-US" w:bidi="ar-SA"/>
        </w:rPr>
        <w:t>二是</w:t>
      </w:r>
      <w:r>
        <w:rPr>
          <w:rFonts w:hint="eastAsia" w:ascii="仿宋_GB2312" w:hAnsi="仿宋_GB2312" w:eastAsia="仿宋_GB2312" w:cs="仿宋_GB2312"/>
          <w:snapToGrid w:val="0"/>
          <w:color w:val="000000"/>
          <w:spacing w:val="4"/>
          <w:kern w:val="0"/>
          <w:sz w:val="32"/>
          <w:szCs w:val="32"/>
          <w:lang w:val="en-US" w:eastAsia="zh-CN" w:bidi="ar-SA"/>
        </w:rPr>
        <w:t>切实加快推进财政电子票据管里改革工作，进一步降低纸质票据使用量</w:t>
      </w:r>
      <w:r>
        <w:rPr>
          <w:rFonts w:hint="eastAsia" w:ascii="仿宋_GB2312" w:hAnsi="仿宋_GB2312" w:eastAsia="仿宋_GB2312" w:cs="仿宋_GB2312"/>
          <w:snapToGrid w:val="0"/>
          <w:color w:val="000000"/>
          <w:spacing w:val="4"/>
          <w:kern w:val="0"/>
          <w:sz w:val="32"/>
          <w:szCs w:val="32"/>
          <w:lang w:val="en-US" w:eastAsia="en-US" w:bidi="ar-SA"/>
        </w:rPr>
        <w:t>。</w:t>
      </w:r>
    </w:p>
    <w:p w14:paraId="67C2AABA">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（三）部门评价结果。</w:t>
      </w:r>
    </w:p>
    <w:p w14:paraId="4ED8D671">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39" w:firstLineChars="200"/>
        <w:jc w:val="left"/>
        <w:textAlignment w:val="baseline"/>
        <w:outlineLvl w:val="9"/>
        <w:rPr>
          <w:rFonts w:hint="eastAsia" w:ascii="仿宋_GB2312" w:hAnsi="仿宋_GB2312" w:eastAsia="仿宋_GB2312" w:cs="仿宋_GB2312"/>
          <w:b/>
          <w:bCs/>
          <w:snapToGrid w:val="0"/>
          <w:color w:val="000000"/>
          <w:spacing w:val="-1"/>
          <w:kern w:val="0"/>
          <w:sz w:val="32"/>
          <w:szCs w:val="32"/>
          <w:lang w:val="en-US" w:eastAsia="en-US" w:bidi="ar-SA"/>
        </w:rPr>
      </w:pPr>
      <w:r>
        <w:rPr>
          <w:rFonts w:hint="eastAsia" w:ascii="仿宋_GB2312" w:hAnsi="仿宋_GB2312" w:eastAsia="仿宋_GB2312" w:cs="仿宋_GB2312"/>
          <w:b/>
          <w:bCs/>
          <w:snapToGrid w:val="0"/>
          <w:color w:val="000000"/>
          <w:spacing w:val="-1"/>
          <w:kern w:val="0"/>
          <w:sz w:val="32"/>
          <w:szCs w:val="32"/>
          <w:lang w:val="en-US" w:eastAsia="zh-CN" w:bidi="ar-SA"/>
        </w:rPr>
        <w:t>1.</w:t>
      </w:r>
      <w:r>
        <w:rPr>
          <w:rFonts w:hint="eastAsia" w:ascii="仿宋_GB2312" w:hAnsi="仿宋_GB2312" w:eastAsia="仿宋_GB2312" w:cs="仿宋_GB2312"/>
          <w:b/>
          <w:bCs/>
          <w:snapToGrid w:val="0"/>
          <w:color w:val="000000"/>
          <w:spacing w:val="-1"/>
          <w:kern w:val="0"/>
          <w:sz w:val="32"/>
          <w:szCs w:val="32"/>
          <w:lang w:val="en-US" w:eastAsia="en-US" w:bidi="ar-SA"/>
        </w:rPr>
        <w:t>评价结果</w:t>
      </w:r>
    </w:p>
    <w:p w14:paraId="381F1626">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sectPr>
          <w:footerReference r:id="rId12" w:type="default"/>
          <w:pgSz w:w="11907" w:h="16839"/>
          <w:pgMar w:top="1431" w:right="1774" w:bottom="1153" w:left="1785" w:header="0" w:footer="965" w:gutter="0"/>
          <w:pgNumType w:fmt="decimal"/>
          <w:cols w:space="720" w:num="1"/>
        </w:sectPr>
      </w:pPr>
    </w:p>
    <w:p w14:paraId="2D1FD765">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根据中央、省、市、县相关文件要求,从项目立项、资金落实、业务管理、财务管理、项目产出、项目效益等方面进行评价，根据评价标准对抽查项目实施评分。</w:t>
      </w:r>
    </w:p>
    <w:p w14:paraId="3A6D6A4F">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经评定我局非税科票据工本费项目支出总体分数为92.40分，其中，成本指标总分为12.40分，产出指标总分为40分，效益指标总分20分，满意率指标10分，年度执行指标10分。</w:t>
      </w:r>
    </w:p>
    <w:p w14:paraId="37C450D8">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39" w:firstLineChars="200"/>
        <w:jc w:val="left"/>
        <w:textAlignment w:val="baseline"/>
        <w:outlineLvl w:val="9"/>
        <w:rPr>
          <w:rFonts w:hint="eastAsia" w:ascii="仿宋_GB2312" w:hAnsi="仿宋_GB2312" w:eastAsia="仿宋_GB2312" w:cs="仿宋_GB2312"/>
          <w:b/>
          <w:bCs/>
          <w:snapToGrid w:val="0"/>
          <w:color w:val="000000"/>
          <w:spacing w:val="-1"/>
          <w:kern w:val="0"/>
          <w:sz w:val="32"/>
          <w:szCs w:val="32"/>
          <w:lang w:val="en-US" w:eastAsia="en-US" w:bidi="ar-SA"/>
        </w:rPr>
      </w:pPr>
      <w:r>
        <w:rPr>
          <w:rFonts w:hint="eastAsia" w:ascii="仿宋_GB2312" w:hAnsi="仿宋_GB2312" w:eastAsia="仿宋_GB2312" w:cs="仿宋_GB2312"/>
          <w:b/>
          <w:bCs/>
          <w:snapToGrid w:val="0"/>
          <w:color w:val="000000"/>
          <w:spacing w:val="-1"/>
          <w:kern w:val="0"/>
          <w:sz w:val="32"/>
          <w:szCs w:val="32"/>
          <w:lang w:val="en-US" w:eastAsia="zh-CN" w:bidi="ar-SA"/>
        </w:rPr>
        <w:t>2.</w:t>
      </w:r>
      <w:r>
        <w:rPr>
          <w:rFonts w:hint="eastAsia" w:ascii="仿宋_GB2312" w:hAnsi="仿宋_GB2312" w:eastAsia="仿宋_GB2312" w:cs="仿宋_GB2312"/>
          <w:b/>
          <w:bCs/>
          <w:snapToGrid w:val="0"/>
          <w:color w:val="000000"/>
          <w:spacing w:val="-1"/>
          <w:kern w:val="0"/>
          <w:sz w:val="32"/>
          <w:szCs w:val="32"/>
          <w:lang w:val="en-US" w:eastAsia="en-US" w:bidi="ar-SA"/>
        </w:rPr>
        <w:t>主要绩效</w:t>
      </w:r>
    </w:p>
    <w:p w14:paraId="7686A961">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我局非税收入管理科积极推进电子票据管理改革进度，督促各单位办理财政电子票据管理信息系统，我区非税收入已全部实行电子化收缴。</w:t>
      </w:r>
    </w:p>
    <w:p w14:paraId="5C67CA0C">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我局非税收入管理科积极保障票据日常管理工作：</w:t>
      </w:r>
    </w:p>
    <w:p w14:paraId="276A7140">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（1）办理财政电子票据管理信息系统资料审批，确保各单位收费项目准确，文件齐全。</w:t>
      </w:r>
    </w:p>
    <w:p w14:paraId="77F34CD2">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（2）按季度申请、发放电子（纸质）票据，保证票据的正常使用。</w:t>
      </w:r>
    </w:p>
    <w:p w14:paraId="46719771">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（3）开具往来票据的审核及发放工作。实行电子票后，往来票据由各单位自己开具，非税科从票据源头上控制，按需发放。</w:t>
      </w:r>
    </w:p>
    <w:p w14:paraId="2749D2E0">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4" w:firstLineChars="200"/>
        <w:jc w:val="left"/>
        <w:textAlignment w:val="baseline"/>
        <w:outlineLvl w:val="9"/>
        <w:rPr>
          <w:rFonts w:ascii="黑体" w:hAnsi="黑体" w:eastAsia="黑体" w:cs="黑体"/>
          <w:spacing w:val="6"/>
          <w:sz w:val="31"/>
          <w:szCs w:val="31"/>
        </w:rPr>
      </w:pPr>
    </w:p>
    <w:p w14:paraId="5E36A4CB">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64" w:firstLineChars="200"/>
        <w:jc w:val="left"/>
        <w:textAlignment w:val="baseline"/>
        <w:outlineLvl w:val="9"/>
        <w:rPr>
          <w:rFonts w:ascii="黑体" w:hAnsi="黑体" w:eastAsia="黑体" w:cs="黑体"/>
          <w:sz w:val="32"/>
          <w:szCs w:val="32"/>
        </w:rPr>
      </w:pPr>
      <w:r>
        <w:rPr>
          <w:rFonts w:ascii="黑体" w:hAnsi="黑体" w:eastAsia="黑体" w:cs="黑体"/>
          <w:spacing w:val="6"/>
          <w:sz w:val="32"/>
          <w:szCs w:val="32"/>
        </w:rPr>
        <w:t>十一、其他重要事项情况说明</w:t>
      </w:r>
    </w:p>
    <w:p w14:paraId="2522FDC9">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（一）机关运行经费执行情况说明</w:t>
      </w:r>
    </w:p>
    <w:p w14:paraId="76E79C83">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2023年度机关运行经费支出</w:t>
      </w:r>
      <w:r>
        <w:rPr>
          <w:rFonts w:hint="eastAsia" w:ascii="仿宋_GB2312" w:hAnsi="仿宋_GB2312" w:eastAsia="仿宋_GB2312" w:cs="仿宋_GB2312"/>
          <w:snapToGrid w:val="0"/>
          <w:color w:val="000000"/>
          <w:spacing w:val="4"/>
          <w:kern w:val="0"/>
          <w:sz w:val="32"/>
          <w:szCs w:val="32"/>
          <w:lang w:val="en-US" w:eastAsia="zh-CN" w:bidi="ar-SA"/>
        </w:rPr>
        <w:t>82.28</w:t>
      </w:r>
      <w:r>
        <w:rPr>
          <w:rFonts w:hint="eastAsia" w:ascii="仿宋_GB2312" w:hAnsi="仿宋_GB2312" w:eastAsia="仿宋_GB2312" w:cs="仿宋_GB2312"/>
          <w:snapToGrid w:val="0"/>
          <w:color w:val="000000"/>
          <w:spacing w:val="4"/>
          <w:kern w:val="0"/>
          <w:sz w:val="32"/>
          <w:szCs w:val="32"/>
          <w:lang w:val="en-US" w:eastAsia="en-US" w:bidi="ar-SA"/>
        </w:rPr>
        <w:t>万元，较2022年度</w:t>
      </w:r>
      <w:r>
        <w:rPr>
          <w:rFonts w:hint="eastAsia" w:ascii="仿宋_GB2312" w:hAnsi="仿宋_GB2312" w:eastAsia="仿宋_GB2312" w:cs="仿宋_GB2312"/>
          <w:snapToGrid w:val="0"/>
          <w:color w:val="000000"/>
          <w:spacing w:val="4"/>
          <w:kern w:val="0"/>
          <w:sz w:val="32"/>
          <w:szCs w:val="32"/>
          <w:lang w:val="en-US" w:eastAsia="zh-CN" w:bidi="ar-SA"/>
        </w:rPr>
        <w:t>增加6.01</w:t>
      </w:r>
      <w:r>
        <w:rPr>
          <w:rFonts w:hint="eastAsia" w:ascii="仿宋_GB2312" w:hAnsi="仿宋_GB2312" w:eastAsia="仿宋_GB2312" w:cs="仿宋_GB2312"/>
          <w:snapToGrid w:val="0"/>
          <w:color w:val="000000"/>
          <w:spacing w:val="4"/>
          <w:kern w:val="0"/>
          <w:sz w:val="32"/>
          <w:szCs w:val="32"/>
          <w:lang w:val="en-US" w:eastAsia="en-US" w:bidi="ar-SA"/>
        </w:rPr>
        <w:t>万元，</w:t>
      </w:r>
      <w:r>
        <w:rPr>
          <w:rFonts w:hint="eastAsia" w:ascii="仿宋_GB2312" w:hAnsi="仿宋_GB2312" w:eastAsia="仿宋_GB2312" w:cs="仿宋_GB2312"/>
          <w:snapToGrid w:val="0"/>
          <w:color w:val="000000"/>
          <w:spacing w:val="4"/>
          <w:kern w:val="0"/>
          <w:sz w:val="32"/>
          <w:szCs w:val="32"/>
          <w:lang w:val="en-US" w:eastAsia="zh-CN" w:bidi="ar-SA"/>
        </w:rPr>
        <w:t>增加8</w:t>
      </w:r>
      <w:r>
        <w:rPr>
          <w:rFonts w:hint="eastAsia" w:ascii="仿宋_GB2312" w:hAnsi="仿宋_GB2312" w:eastAsia="仿宋_GB2312" w:cs="仿宋_GB2312"/>
          <w:snapToGrid w:val="0"/>
          <w:color w:val="000000"/>
          <w:spacing w:val="4"/>
          <w:kern w:val="0"/>
          <w:sz w:val="32"/>
          <w:szCs w:val="32"/>
          <w:lang w:val="en-US" w:eastAsia="en-US" w:bidi="ar-SA"/>
        </w:rPr>
        <w:t>%，主要是</w:t>
      </w:r>
      <w:r>
        <w:rPr>
          <w:rFonts w:hint="eastAsia" w:ascii="仿宋_GB2312" w:hAnsi="仿宋_GB2312" w:eastAsia="仿宋_GB2312" w:cs="仿宋_GB2312"/>
          <w:snapToGrid w:val="0"/>
          <w:color w:val="000000"/>
          <w:spacing w:val="4"/>
          <w:kern w:val="0"/>
          <w:sz w:val="32"/>
          <w:szCs w:val="32"/>
          <w:lang w:val="en-US" w:eastAsia="zh-CN" w:bidi="ar-SA"/>
        </w:rPr>
        <w:t>经费支出增加</w:t>
      </w:r>
      <w:r>
        <w:rPr>
          <w:rFonts w:hint="eastAsia" w:ascii="仿宋_GB2312" w:hAnsi="仿宋_GB2312" w:eastAsia="仿宋_GB2312" w:cs="仿宋_GB2312"/>
          <w:snapToGrid w:val="0"/>
          <w:color w:val="000000"/>
          <w:spacing w:val="4"/>
          <w:kern w:val="0"/>
          <w:sz w:val="32"/>
          <w:szCs w:val="32"/>
          <w:lang w:val="en-US" w:eastAsia="en-US" w:bidi="ar-SA"/>
        </w:rPr>
        <w:t>。</w:t>
      </w:r>
    </w:p>
    <w:p w14:paraId="097B8982">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（二）政府采购支出情况说明</w:t>
      </w:r>
    </w:p>
    <w:p w14:paraId="72ED878C">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2023年度政府采购支出总额</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万元，其中：政府采购货 物支出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万元、政府采购工程支出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万元、政府采购服务支出</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万元。授予中小企业合同金额</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万元，占政府采购支出总额的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%，其中：授予小微企业合同金额</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万元，占授予中小企业合同金额的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%；货物采购授予中小企业合同金额占货物支出金额的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%，工程采购授予中小企业合同金额占工程支出金额的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%，服务采购授予中小企业合同金额占服务支出金额的</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w:t>
      </w:r>
    </w:p>
    <w:p w14:paraId="39235231">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（三）国有资产占用情况说明</w:t>
      </w:r>
    </w:p>
    <w:p w14:paraId="2044A8B7">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pPr>
      <w:r>
        <w:rPr>
          <w:rFonts w:hint="eastAsia" w:ascii="仿宋_GB2312" w:hAnsi="仿宋_GB2312" w:eastAsia="仿宋_GB2312" w:cs="仿宋_GB2312"/>
          <w:snapToGrid w:val="0"/>
          <w:color w:val="000000"/>
          <w:spacing w:val="4"/>
          <w:kern w:val="0"/>
          <w:sz w:val="32"/>
          <w:szCs w:val="32"/>
          <w:lang w:val="en-US" w:eastAsia="en-US" w:bidi="ar-SA"/>
        </w:rPr>
        <w:t>截至2023年12月31日，</w:t>
      </w:r>
      <w:r>
        <w:rPr>
          <w:rFonts w:hint="eastAsia" w:ascii="仿宋_GB2312" w:hAnsi="仿宋_GB2312" w:eastAsia="仿宋_GB2312" w:cs="仿宋_GB2312"/>
          <w:snapToGrid w:val="0"/>
          <w:color w:val="000000"/>
          <w:spacing w:val="4"/>
          <w:kern w:val="0"/>
          <w:sz w:val="32"/>
          <w:szCs w:val="32"/>
          <w:lang w:val="en-US" w:eastAsia="zh-CN" w:bidi="ar-SA"/>
        </w:rPr>
        <w:t>长春市南关区财政局</w:t>
      </w:r>
      <w:r>
        <w:rPr>
          <w:rFonts w:hint="eastAsia" w:ascii="仿宋_GB2312" w:hAnsi="仿宋_GB2312" w:eastAsia="仿宋_GB2312" w:cs="仿宋_GB2312"/>
          <w:snapToGrid w:val="0"/>
          <w:color w:val="000000"/>
          <w:spacing w:val="4"/>
          <w:kern w:val="0"/>
          <w:sz w:val="32"/>
          <w:szCs w:val="32"/>
          <w:lang w:val="en-US" w:eastAsia="en-US" w:bidi="ar-SA"/>
        </w:rPr>
        <w:t>共有车辆</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辆，其中，副部（省）级及以上领导用车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辆、主要负责人用车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辆、机要通信用车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辆、应急保障用车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辆、执法执勤用车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辆、特种专业技术用车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辆、离退休干部用车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辆、其他用车</w:t>
      </w:r>
      <w:r>
        <w:rPr>
          <w:rFonts w:hint="eastAsia" w:ascii="仿宋_GB2312" w:hAnsi="仿宋_GB2312" w:eastAsia="仿宋_GB2312" w:cs="仿宋_GB2312"/>
          <w:snapToGrid w:val="0"/>
          <w:color w:val="000000"/>
          <w:spacing w:val="4"/>
          <w:kern w:val="0"/>
          <w:sz w:val="32"/>
          <w:szCs w:val="32"/>
          <w:lang w:val="en-US" w:eastAsia="zh-CN" w:bidi="ar-SA"/>
        </w:rPr>
        <w:t>0</w:t>
      </w:r>
      <w:r>
        <w:rPr>
          <w:rFonts w:hint="eastAsia" w:ascii="仿宋_GB2312" w:hAnsi="仿宋_GB2312" w:eastAsia="仿宋_GB2312" w:cs="仿宋_GB2312"/>
          <w:snapToGrid w:val="0"/>
          <w:color w:val="000000"/>
          <w:spacing w:val="4"/>
          <w:kern w:val="0"/>
          <w:sz w:val="32"/>
          <w:szCs w:val="32"/>
          <w:lang w:val="en-US" w:eastAsia="en-US" w:bidi="ar-SA"/>
        </w:rPr>
        <w:t>辆；单位价值100万元（含）以上设备（不含车辆）XX台（套）。</w:t>
      </w:r>
    </w:p>
    <w:p w14:paraId="13608AC7">
      <w:pPr>
        <w:pStyle w:val="2"/>
        <w:keepNext w:val="0"/>
        <w:keepLines w:val="0"/>
        <w:pageBreakBefore w:val="0"/>
        <w:widowControl w:val="0"/>
        <w:kinsoku/>
        <w:wordWrap/>
        <w:overflowPunct/>
        <w:topLinePunct w:val="0"/>
        <w:autoSpaceDE w:val="0"/>
        <w:autoSpaceDN w:val="0"/>
        <w:bidi w:val="0"/>
        <w:adjustRightInd w:val="0"/>
        <w:snapToGrid w:val="0"/>
        <w:spacing w:line="576" w:lineRule="exact"/>
        <w:ind w:left="0" w:right="0" w:firstLine="656" w:firstLineChars="200"/>
        <w:jc w:val="left"/>
        <w:textAlignment w:val="baseline"/>
        <w:outlineLvl w:val="9"/>
        <w:rPr>
          <w:rFonts w:hint="eastAsia" w:ascii="仿宋_GB2312" w:hAnsi="仿宋_GB2312" w:eastAsia="仿宋_GB2312" w:cs="仿宋_GB2312"/>
          <w:snapToGrid w:val="0"/>
          <w:color w:val="000000"/>
          <w:spacing w:val="4"/>
          <w:kern w:val="0"/>
          <w:sz w:val="32"/>
          <w:szCs w:val="32"/>
          <w:lang w:val="en-US" w:eastAsia="en-US" w:bidi="ar-SA"/>
        </w:rPr>
        <w:sectPr>
          <w:footerReference r:id="rId13" w:type="default"/>
          <w:pgSz w:w="11907" w:h="16839"/>
          <w:pgMar w:top="1431" w:right="1774" w:bottom="1153" w:left="1785" w:header="0" w:footer="965" w:gutter="0"/>
          <w:pgNumType w:fmt="decimal"/>
          <w:cols w:space="720" w:num="1"/>
        </w:sectPr>
      </w:pPr>
    </w:p>
    <w:p w14:paraId="635BA642">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864" w:firstLineChars="200"/>
        <w:jc w:val="left"/>
        <w:textAlignment w:val="baseline"/>
        <w:outlineLvl w:val="9"/>
        <w:rPr>
          <w:rFonts w:ascii="微软雅黑" w:hAnsi="微软雅黑" w:eastAsia="微软雅黑" w:cs="微软雅黑"/>
          <w:sz w:val="44"/>
          <w:szCs w:val="44"/>
        </w:rPr>
      </w:pPr>
      <w:r>
        <w:rPr>
          <w:rFonts w:ascii="微软雅黑" w:hAnsi="微软雅黑" w:eastAsia="微软雅黑" w:cs="微软雅黑"/>
          <w:spacing w:val="-4"/>
          <w:position w:val="-2"/>
          <w:sz w:val="44"/>
          <w:szCs w:val="44"/>
        </w:rPr>
        <w:t>第四部分</w:t>
      </w:r>
      <w:r>
        <w:rPr>
          <w:rFonts w:ascii="微软雅黑" w:hAnsi="微软雅黑" w:eastAsia="微软雅黑" w:cs="微软雅黑"/>
          <w:spacing w:val="24"/>
          <w:position w:val="-2"/>
          <w:sz w:val="44"/>
          <w:szCs w:val="44"/>
        </w:rPr>
        <w:t xml:space="preserve">   </w:t>
      </w:r>
      <w:r>
        <w:rPr>
          <w:rFonts w:ascii="微软雅黑" w:hAnsi="微软雅黑" w:eastAsia="微软雅黑" w:cs="微软雅黑"/>
          <w:spacing w:val="-4"/>
          <w:position w:val="-2"/>
          <w:sz w:val="44"/>
          <w:szCs w:val="44"/>
        </w:rPr>
        <w:t>名词解释</w:t>
      </w:r>
    </w:p>
    <w:p w14:paraId="0448A39D">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6" w:firstLineChars="200"/>
        <w:jc w:val="left"/>
        <w:textAlignment w:val="baseline"/>
        <w:outlineLvl w:val="9"/>
        <w:rPr>
          <w:rFonts w:ascii="仿宋" w:hAnsi="仿宋" w:eastAsia="仿宋" w:cs="仿宋"/>
          <w:sz w:val="31"/>
          <w:szCs w:val="31"/>
        </w:rPr>
      </w:pPr>
      <w:r>
        <w:rPr>
          <w:rFonts w:ascii="仿宋" w:hAnsi="仿宋" w:eastAsia="仿宋" w:cs="仿宋"/>
          <w:b/>
          <w:bCs/>
          <w:spacing w:val="6"/>
          <w:sz w:val="31"/>
          <w:szCs w:val="31"/>
        </w:rPr>
        <w:t>一、财政拨款收入：</w:t>
      </w:r>
      <w:r>
        <w:rPr>
          <w:rFonts w:ascii="仿宋" w:hAnsi="仿宋" w:eastAsia="仿宋" w:cs="仿宋"/>
          <w:spacing w:val="6"/>
          <w:sz w:val="31"/>
          <w:szCs w:val="31"/>
        </w:rPr>
        <w:t>指单位从同级财政部门取得的财政</w:t>
      </w:r>
      <w:r>
        <w:rPr>
          <w:rFonts w:ascii="仿宋" w:hAnsi="仿宋" w:eastAsia="仿宋" w:cs="仿宋"/>
          <w:spacing w:val="16"/>
          <w:sz w:val="31"/>
          <w:szCs w:val="31"/>
        </w:rPr>
        <w:t xml:space="preserve"> </w:t>
      </w:r>
      <w:r>
        <w:rPr>
          <w:rFonts w:ascii="仿宋" w:hAnsi="仿宋" w:eastAsia="仿宋" w:cs="仿宋"/>
          <w:spacing w:val="2"/>
          <w:sz w:val="31"/>
          <w:szCs w:val="31"/>
        </w:rPr>
        <w:t>预算资金。</w:t>
      </w:r>
    </w:p>
    <w:p w14:paraId="35789E4F">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6" w:firstLineChars="200"/>
        <w:jc w:val="left"/>
        <w:textAlignment w:val="baseline"/>
        <w:outlineLvl w:val="9"/>
        <w:rPr>
          <w:rFonts w:ascii="仿宋" w:hAnsi="仿宋" w:eastAsia="仿宋" w:cs="仿宋"/>
          <w:sz w:val="31"/>
          <w:szCs w:val="31"/>
        </w:rPr>
      </w:pPr>
      <w:r>
        <w:rPr>
          <w:rFonts w:ascii="仿宋" w:hAnsi="仿宋" w:eastAsia="仿宋" w:cs="仿宋"/>
          <w:b/>
          <w:bCs/>
          <w:spacing w:val="6"/>
          <w:sz w:val="31"/>
          <w:szCs w:val="31"/>
        </w:rPr>
        <w:t>二、上级补助收入：</w:t>
      </w:r>
      <w:r>
        <w:rPr>
          <w:rFonts w:ascii="仿宋" w:hAnsi="仿宋" w:eastAsia="仿宋" w:cs="仿宋"/>
          <w:spacing w:val="6"/>
          <w:sz w:val="31"/>
          <w:szCs w:val="31"/>
        </w:rPr>
        <w:t>指从主管部门和上级单位取得的非</w:t>
      </w:r>
      <w:r>
        <w:rPr>
          <w:rFonts w:ascii="仿宋" w:hAnsi="仿宋" w:eastAsia="仿宋" w:cs="仿宋"/>
          <w:spacing w:val="18"/>
          <w:sz w:val="31"/>
          <w:szCs w:val="31"/>
        </w:rPr>
        <w:t xml:space="preserve"> </w:t>
      </w:r>
      <w:r>
        <w:rPr>
          <w:rFonts w:ascii="仿宋" w:hAnsi="仿宋" w:eastAsia="仿宋" w:cs="仿宋"/>
          <w:spacing w:val="-1"/>
          <w:sz w:val="31"/>
          <w:szCs w:val="31"/>
        </w:rPr>
        <w:t>财政补助收入。</w:t>
      </w:r>
    </w:p>
    <w:p w14:paraId="0869E7B3">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38" w:firstLineChars="200"/>
        <w:jc w:val="left"/>
        <w:textAlignment w:val="baseline"/>
        <w:outlineLvl w:val="9"/>
        <w:rPr>
          <w:rFonts w:ascii="仿宋" w:hAnsi="仿宋" w:eastAsia="仿宋" w:cs="仿宋"/>
          <w:sz w:val="31"/>
          <w:szCs w:val="31"/>
        </w:rPr>
      </w:pPr>
      <w:r>
        <w:rPr>
          <w:rFonts w:ascii="仿宋" w:hAnsi="仿宋" w:eastAsia="仿宋" w:cs="仿宋"/>
          <w:b/>
          <w:bCs/>
          <w:spacing w:val="4"/>
          <w:sz w:val="31"/>
          <w:szCs w:val="31"/>
        </w:rPr>
        <w:t>三、事业收入：指事业单位开展专业业务活动及辅助活</w:t>
      </w:r>
      <w:r>
        <w:rPr>
          <w:rFonts w:ascii="仿宋" w:hAnsi="仿宋" w:eastAsia="仿宋" w:cs="仿宋"/>
          <w:spacing w:val="6"/>
          <w:sz w:val="31"/>
          <w:szCs w:val="31"/>
        </w:rPr>
        <w:t xml:space="preserve"> </w:t>
      </w:r>
      <w:r>
        <w:rPr>
          <w:rFonts w:ascii="仿宋" w:hAnsi="仿宋" w:eastAsia="仿宋" w:cs="仿宋"/>
          <w:b/>
          <w:bCs/>
          <w:spacing w:val="-6"/>
          <w:sz w:val="31"/>
          <w:szCs w:val="31"/>
        </w:rPr>
        <w:t>动取得的收入。</w:t>
      </w:r>
    </w:p>
    <w:p w14:paraId="05A119D9">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6" w:firstLineChars="200"/>
        <w:jc w:val="left"/>
        <w:textAlignment w:val="baseline"/>
        <w:outlineLvl w:val="9"/>
        <w:rPr>
          <w:rFonts w:ascii="仿宋" w:hAnsi="仿宋" w:eastAsia="仿宋" w:cs="仿宋"/>
          <w:sz w:val="31"/>
          <w:szCs w:val="31"/>
        </w:rPr>
      </w:pPr>
      <w:r>
        <w:rPr>
          <w:rFonts w:ascii="仿宋" w:hAnsi="仿宋" w:eastAsia="仿宋" w:cs="仿宋"/>
          <w:b/>
          <w:bCs/>
          <w:spacing w:val="6"/>
          <w:sz w:val="31"/>
          <w:szCs w:val="31"/>
        </w:rPr>
        <w:t>四、经营收入：</w:t>
      </w:r>
      <w:r>
        <w:rPr>
          <w:rFonts w:ascii="仿宋" w:hAnsi="仿宋" w:eastAsia="仿宋" w:cs="仿宋"/>
          <w:spacing w:val="6"/>
          <w:sz w:val="31"/>
          <w:szCs w:val="31"/>
        </w:rPr>
        <w:t>指事业单位在专业业务活动及其辅助活</w:t>
      </w:r>
      <w:r>
        <w:rPr>
          <w:rFonts w:ascii="仿宋" w:hAnsi="仿宋" w:eastAsia="仿宋" w:cs="仿宋"/>
          <w:spacing w:val="2"/>
          <w:sz w:val="31"/>
          <w:szCs w:val="31"/>
        </w:rPr>
        <w:t xml:space="preserve"> </w:t>
      </w:r>
      <w:r>
        <w:rPr>
          <w:rFonts w:ascii="仿宋" w:hAnsi="仿宋" w:eastAsia="仿宋" w:cs="仿宋"/>
          <w:spacing w:val="6"/>
          <w:sz w:val="31"/>
          <w:szCs w:val="31"/>
        </w:rPr>
        <w:t>动之外开展非独立核算经营活动取得的收入。</w:t>
      </w:r>
    </w:p>
    <w:p w14:paraId="0316BC24">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6" w:firstLineChars="200"/>
        <w:jc w:val="left"/>
        <w:textAlignment w:val="baseline"/>
        <w:outlineLvl w:val="9"/>
        <w:rPr>
          <w:rFonts w:ascii="仿宋" w:hAnsi="仿宋" w:eastAsia="仿宋" w:cs="仿宋"/>
          <w:sz w:val="31"/>
          <w:szCs w:val="31"/>
        </w:rPr>
      </w:pPr>
      <w:r>
        <w:rPr>
          <w:rFonts w:ascii="仿宋" w:hAnsi="仿宋" w:eastAsia="仿宋" w:cs="仿宋"/>
          <w:b/>
          <w:bCs/>
          <w:spacing w:val="6"/>
          <w:sz w:val="31"/>
          <w:szCs w:val="31"/>
        </w:rPr>
        <w:t>五、附属单位上缴收入：</w:t>
      </w:r>
      <w:r>
        <w:rPr>
          <w:rFonts w:ascii="仿宋" w:hAnsi="仿宋" w:eastAsia="仿宋" w:cs="仿宋"/>
          <w:spacing w:val="6"/>
          <w:sz w:val="31"/>
          <w:szCs w:val="31"/>
        </w:rPr>
        <w:t>指事业单位附属独立核算单位</w:t>
      </w:r>
      <w:r>
        <w:rPr>
          <w:rFonts w:ascii="仿宋" w:hAnsi="仿宋" w:eastAsia="仿宋" w:cs="仿宋"/>
          <w:spacing w:val="18"/>
          <w:sz w:val="31"/>
          <w:szCs w:val="31"/>
        </w:rPr>
        <w:t xml:space="preserve"> </w:t>
      </w:r>
      <w:r>
        <w:rPr>
          <w:rFonts w:ascii="仿宋" w:hAnsi="仿宋" w:eastAsia="仿宋" w:cs="仿宋"/>
          <w:spacing w:val="7"/>
          <w:sz w:val="31"/>
          <w:szCs w:val="31"/>
        </w:rPr>
        <w:t>按照有关规定上缴的收入。</w:t>
      </w:r>
    </w:p>
    <w:p w14:paraId="0A67E09D">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六、其他收入：</w:t>
      </w:r>
      <w:r>
        <w:rPr>
          <w:rFonts w:ascii="仿宋" w:hAnsi="仿宋" w:eastAsia="仿宋" w:cs="仿宋"/>
          <w:spacing w:val="7"/>
          <w:sz w:val="31"/>
          <w:szCs w:val="31"/>
        </w:rPr>
        <w:t>指除上述收入以外的各项收入。包括未</w:t>
      </w:r>
      <w:r>
        <w:rPr>
          <w:rFonts w:ascii="仿宋" w:hAnsi="仿宋" w:eastAsia="仿宋" w:cs="仿宋"/>
          <w:spacing w:val="4"/>
          <w:sz w:val="31"/>
          <w:szCs w:val="31"/>
        </w:rPr>
        <w:t xml:space="preserve"> </w:t>
      </w:r>
      <w:r>
        <w:rPr>
          <w:rFonts w:ascii="仿宋" w:hAnsi="仿宋" w:eastAsia="仿宋" w:cs="仿宋"/>
          <w:spacing w:val="9"/>
          <w:sz w:val="31"/>
          <w:szCs w:val="31"/>
        </w:rPr>
        <w:t>纳入财政预算或财政专户管理的投资收益、银</w:t>
      </w:r>
      <w:r>
        <w:rPr>
          <w:rFonts w:ascii="仿宋" w:hAnsi="仿宋" w:eastAsia="仿宋" w:cs="仿宋"/>
          <w:spacing w:val="8"/>
          <w:sz w:val="31"/>
          <w:szCs w:val="31"/>
        </w:rPr>
        <w:t>行存款利息收</w:t>
      </w:r>
      <w:r>
        <w:rPr>
          <w:rFonts w:ascii="仿宋" w:hAnsi="仿宋" w:eastAsia="仿宋" w:cs="仿宋"/>
          <w:sz w:val="31"/>
          <w:szCs w:val="31"/>
        </w:rPr>
        <w:t xml:space="preserve"> </w:t>
      </w:r>
      <w:r>
        <w:rPr>
          <w:rFonts w:ascii="仿宋" w:hAnsi="仿宋" w:eastAsia="仿宋" w:cs="仿宋"/>
          <w:spacing w:val="9"/>
          <w:sz w:val="31"/>
          <w:szCs w:val="31"/>
        </w:rPr>
        <w:t>入、租金收入、捐赠收入，现金盘盈收入、存货</w:t>
      </w:r>
      <w:r>
        <w:rPr>
          <w:rFonts w:ascii="仿宋" w:hAnsi="仿宋" w:eastAsia="仿宋" w:cs="仿宋"/>
          <w:spacing w:val="8"/>
          <w:sz w:val="31"/>
          <w:szCs w:val="31"/>
        </w:rPr>
        <w:t>盘盈收入、</w:t>
      </w:r>
      <w:r>
        <w:rPr>
          <w:rFonts w:ascii="仿宋" w:hAnsi="仿宋" w:eastAsia="仿宋" w:cs="仿宋"/>
          <w:sz w:val="31"/>
          <w:szCs w:val="31"/>
        </w:rPr>
        <w:t xml:space="preserve"> </w:t>
      </w:r>
      <w:r>
        <w:rPr>
          <w:rFonts w:ascii="仿宋" w:hAnsi="仿宋" w:eastAsia="仿宋" w:cs="仿宋"/>
          <w:spacing w:val="9"/>
          <w:sz w:val="31"/>
          <w:szCs w:val="31"/>
        </w:rPr>
        <w:t>收回已核销应收及预付款项、无法偿付的应付及</w:t>
      </w:r>
      <w:r>
        <w:rPr>
          <w:rFonts w:ascii="仿宋" w:hAnsi="仿宋" w:eastAsia="仿宋" w:cs="仿宋"/>
          <w:spacing w:val="8"/>
          <w:sz w:val="31"/>
          <w:szCs w:val="31"/>
        </w:rPr>
        <w:t>预收款项，</w:t>
      </w:r>
      <w:r>
        <w:rPr>
          <w:rFonts w:ascii="仿宋" w:hAnsi="仿宋" w:eastAsia="仿宋" w:cs="仿宋"/>
          <w:sz w:val="31"/>
          <w:szCs w:val="31"/>
        </w:rPr>
        <w:t xml:space="preserve"> </w:t>
      </w:r>
      <w:r>
        <w:rPr>
          <w:rFonts w:ascii="仿宋" w:hAnsi="仿宋" w:eastAsia="仿宋" w:cs="仿宋"/>
          <w:spacing w:val="9"/>
          <w:sz w:val="31"/>
          <w:szCs w:val="31"/>
        </w:rPr>
        <w:t>从省财政以外的同级单位取得的经费、从非省</w:t>
      </w:r>
      <w:r>
        <w:rPr>
          <w:rFonts w:ascii="仿宋" w:hAnsi="仿宋" w:eastAsia="仿宋" w:cs="仿宋"/>
          <w:spacing w:val="8"/>
          <w:sz w:val="31"/>
          <w:szCs w:val="31"/>
        </w:rPr>
        <w:t>财政取得的经</w:t>
      </w:r>
      <w:r>
        <w:rPr>
          <w:rFonts w:ascii="仿宋" w:hAnsi="仿宋" w:eastAsia="仿宋" w:cs="仿宋"/>
          <w:sz w:val="31"/>
          <w:szCs w:val="31"/>
        </w:rPr>
        <w:t xml:space="preserve"> </w:t>
      </w:r>
      <w:r>
        <w:rPr>
          <w:rFonts w:ascii="仿宋" w:hAnsi="仿宋" w:eastAsia="仿宋" w:cs="仿宋"/>
          <w:spacing w:val="6"/>
          <w:sz w:val="31"/>
          <w:szCs w:val="31"/>
        </w:rPr>
        <w:t>费，以及行政单位收到的财政专户管理资金等。</w:t>
      </w:r>
    </w:p>
    <w:p w14:paraId="31A51025">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2" w:firstLineChars="200"/>
        <w:jc w:val="left"/>
        <w:textAlignment w:val="baseline"/>
        <w:outlineLvl w:val="9"/>
        <w:rPr>
          <w:rFonts w:ascii="仿宋" w:hAnsi="仿宋" w:eastAsia="仿宋" w:cs="仿宋"/>
          <w:sz w:val="31"/>
          <w:szCs w:val="31"/>
        </w:rPr>
      </w:pPr>
      <w:r>
        <w:rPr>
          <w:rFonts w:ascii="仿宋" w:hAnsi="仿宋" w:eastAsia="仿宋" w:cs="仿宋"/>
          <w:b/>
          <w:bCs/>
          <w:spacing w:val="5"/>
          <w:sz w:val="31"/>
          <w:szCs w:val="31"/>
        </w:rPr>
        <w:t>七、使用非财政拨款结余（含专用结余</w:t>
      </w:r>
      <w:r>
        <w:rPr>
          <w:rFonts w:ascii="仿宋" w:hAnsi="仿宋" w:eastAsia="仿宋" w:cs="仿宋"/>
          <w:b/>
          <w:bCs/>
          <w:spacing w:val="16"/>
          <w:sz w:val="31"/>
          <w:szCs w:val="31"/>
        </w:rPr>
        <w:t>）：</w:t>
      </w:r>
      <w:r>
        <w:rPr>
          <w:rFonts w:ascii="仿宋" w:hAnsi="仿宋" w:eastAsia="仿宋" w:cs="仿宋"/>
          <w:spacing w:val="5"/>
          <w:sz w:val="31"/>
          <w:szCs w:val="31"/>
        </w:rPr>
        <w:t>指事业单位</w:t>
      </w:r>
      <w:r>
        <w:rPr>
          <w:rFonts w:ascii="仿宋" w:hAnsi="仿宋" w:eastAsia="仿宋" w:cs="仿宋"/>
          <w:spacing w:val="1"/>
          <w:sz w:val="31"/>
          <w:szCs w:val="31"/>
        </w:rPr>
        <w:t xml:space="preserve"> </w:t>
      </w:r>
      <w:r>
        <w:rPr>
          <w:rFonts w:ascii="仿宋" w:hAnsi="仿宋" w:eastAsia="仿宋" w:cs="仿宋"/>
          <w:spacing w:val="21"/>
          <w:sz w:val="31"/>
          <w:szCs w:val="31"/>
        </w:rPr>
        <w:t>按照预算管理要求使用非财政拨款结余弥补收支差额的金</w:t>
      </w:r>
      <w:r>
        <w:rPr>
          <w:rFonts w:ascii="仿宋" w:hAnsi="仿宋" w:eastAsia="仿宋" w:cs="仿宋"/>
          <w:spacing w:val="15"/>
          <w:sz w:val="31"/>
          <w:szCs w:val="31"/>
        </w:rPr>
        <w:t xml:space="preserve"> </w:t>
      </w:r>
      <w:r>
        <w:rPr>
          <w:rFonts w:ascii="仿宋" w:hAnsi="仿宋" w:eastAsia="仿宋" w:cs="仿宋"/>
          <w:spacing w:val="5"/>
          <w:sz w:val="31"/>
          <w:szCs w:val="31"/>
        </w:rPr>
        <w:t>额，以及使用专用结余安排支出的金额。</w:t>
      </w:r>
    </w:p>
    <w:p w14:paraId="366AE18D">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八、年初结转和结余：</w:t>
      </w:r>
      <w:r>
        <w:rPr>
          <w:rFonts w:ascii="仿宋" w:hAnsi="仿宋" w:eastAsia="仿宋" w:cs="仿宋"/>
          <w:spacing w:val="7"/>
          <w:sz w:val="31"/>
          <w:szCs w:val="31"/>
        </w:rPr>
        <w:t>指单位以前年度尚未完成、结转</w:t>
      </w:r>
    </w:p>
    <w:p w14:paraId="181F9633">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20" w:firstLineChars="200"/>
        <w:jc w:val="left"/>
        <w:textAlignment w:val="baseline"/>
        <w:outlineLvl w:val="9"/>
        <w:rPr>
          <w:rFonts w:ascii="仿宋" w:hAnsi="仿宋" w:eastAsia="仿宋" w:cs="仿宋"/>
          <w:sz w:val="31"/>
          <w:szCs w:val="31"/>
        </w:rPr>
        <w:sectPr>
          <w:footerReference r:id="rId14" w:type="default"/>
          <w:pgSz w:w="11907" w:h="16839"/>
          <w:pgMar w:top="1431" w:right="1785" w:bottom="1153" w:left="1785" w:header="0" w:footer="965" w:gutter="0"/>
          <w:pgNumType w:fmt="decimal"/>
          <w:cols w:space="720" w:num="1"/>
        </w:sectPr>
      </w:pPr>
    </w:p>
    <w:p w14:paraId="0FF78F7C">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8" w:firstLineChars="200"/>
        <w:jc w:val="left"/>
        <w:textAlignment w:val="baseline"/>
        <w:outlineLvl w:val="9"/>
        <w:rPr>
          <w:rFonts w:ascii="仿宋" w:hAnsi="仿宋" w:eastAsia="仿宋" w:cs="仿宋"/>
          <w:sz w:val="31"/>
          <w:szCs w:val="31"/>
        </w:rPr>
      </w:pPr>
      <w:r>
        <w:rPr>
          <w:rFonts w:ascii="仿宋" w:hAnsi="仿宋" w:eastAsia="仿宋" w:cs="仿宋"/>
          <w:spacing w:val="7"/>
          <w:sz w:val="31"/>
          <w:szCs w:val="31"/>
        </w:rPr>
        <w:t>到本年按有关规定用途继续使用的资金，或项目已完成等产</w:t>
      </w:r>
      <w:r>
        <w:rPr>
          <w:rFonts w:ascii="仿宋" w:hAnsi="仿宋" w:eastAsia="仿宋" w:cs="仿宋"/>
          <w:sz w:val="31"/>
          <w:szCs w:val="31"/>
        </w:rPr>
        <w:t xml:space="preserve"> </w:t>
      </w:r>
      <w:r>
        <w:rPr>
          <w:rFonts w:ascii="仿宋" w:hAnsi="仿宋" w:eastAsia="仿宋" w:cs="仿宋"/>
          <w:spacing w:val="-3"/>
          <w:sz w:val="31"/>
          <w:szCs w:val="31"/>
        </w:rPr>
        <w:t>生的结余资金。</w:t>
      </w:r>
    </w:p>
    <w:p w14:paraId="37C142F5">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九、结余分配：</w:t>
      </w:r>
      <w:r>
        <w:rPr>
          <w:rFonts w:ascii="仿宋" w:hAnsi="仿宋" w:eastAsia="仿宋" w:cs="仿宋"/>
          <w:spacing w:val="7"/>
          <w:sz w:val="31"/>
          <w:szCs w:val="31"/>
        </w:rPr>
        <w:t>指事业单位按照会计制度规定缴纳的所</w:t>
      </w:r>
      <w:r>
        <w:rPr>
          <w:rFonts w:ascii="仿宋" w:hAnsi="仿宋" w:eastAsia="仿宋" w:cs="仿宋"/>
          <w:spacing w:val="12"/>
          <w:sz w:val="31"/>
          <w:szCs w:val="31"/>
        </w:rPr>
        <w:t xml:space="preserve"> </w:t>
      </w:r>
      <w:r>
        <w:rPr>
          <w:rFonts w:ascii="仿宋" w:hAnsi="仿宋" w:eastAsia="仿宋" w:cs="仿宋"/>
          <w:spacing w:val="6"/>
          <w:sz w:val="31"/>
          <w:szCs w:val="31"/>
        </w:rPr>
        <w:t>得税、提取的专用结余以及转入非财政拨款结余的金额等。</w:t>
      </w:r>
    </w:p>
    <w:p w14:paraId="09E36A14">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十、年末结转和结余：</w:t>
      </w:r>
      <w:r>
        <w:rPr>
          <w:rFonts w:ascii="仿宋" w:hAnsi="仿宋" w:eastAsia="仿宋" w:cs="仿宋"/>
          <w:spacing w:val="7"/>
          <w:sz w:val="31"/>
          <w:szCs w:val="31"/>
        </w:rPr>
        <w:t>指单位按有关规定结</w:t>
      </w:r>
      <w:r>
        <w:rPr>
          <w:rFonts w:ascii="仿宋" w:hAnsi="仿宋" w:eastAsia="仿宋" w:cs="仿宋"/>
          <w:spacing w:val="6"/>
          <w:sz w:val="31"/>
          <w:szCs w:val="31"/>
        </w:rPr>
        <w:t>转到下年或</w:t>
      </w:r>
      <w:r>
        <w:rPr>
          <w:rFonts w:ascii="仿宋" w:hAnsi="仿宋" w:eastAsia="仿宋" w:cs="仿宋"/>
          <w:sz w:val="31"/>
          <w:szCs w:val="31"/>
        </w:rPr>
        <w:t xml:space="preserve"> </w:t>
      </w:r>
      <w:r>
        <w:rPr>
          <w:rFonts w:ascii="仿宋" w:hAnsi="仿宋" w:eastAsia="仿宋" w:cs="仿宋"/>
          <w:spacing w:val="21"/>
          <w:sz w:val="31"/>
          <w:szCs w:val="31"/>
        </w:rPr>
        <w:t>以后年度继续使用的资金，或项目已完成等产生的结余资</w:t>
      </w:r>
      <w:r>
        <w:rPr>
          <w:rFonts w:ascii="仿宋" w:hAnsi="仿宋" w:eastAsia="仿宋" w:cs="仿宋"/>
          <w:spacing w:val="10"/>
          <w:sz w:val="31"/>
          <w:szCs w:val="31"/>
        </w:rPr>
        <w:t xml:space="preserve"> </w:t>
      </w:r>
      <w:r>
        <w:rPr>
          <w:rFonts w:ascii="仿宋" w:hAnsi="仿宋" w:eastAsia="仿宋" w:cs="仿宋"/>
          <w:spacing w:val="-16"/>
          <w:sz w:val="31"/>
          <w:szCs w:val="31"/>
        </w:rPr>
        <w:t>金。</w:t>
      </w:r>
    </w:p>
    <w:p w14:paraId="6B6A8FE8">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十一、基本支出：</w:t>
      </w:r>
      <w:r>
        <w:rPr>
          <w:rFonts w:ascii="仿宋" w:hAnsi="仿宋" w:eastAsia="仿宋" w:cs="仿宋"/>
          <w:spacing w:val="7"/>
          <w:sz w:val="31"/>
          <w:szCs w:val="31"/>
        </w:rPr>
        <w:t>指为保障机构正常运转、完成日常工</w:t>
      </w:r>
      <w:r>
        <w:rPr>
          <w:rFonts w:ascii="仿宋" w:hAnsi="仿宋" w:eastAsia="仿宋" w:cs="仿宋"/>
          <w:spacing w:val="1"/>
          <w:sz w:val="31"/>
          <w:szCs w:val="31"/>
        </w:rPr>
        <w:t xml:space="preserve"> </w:t>
      </w:r>
      <w:r>
        <w:rPr>
          <w:rFonts w:ascii="仿宋" w:hAnsi="仿宋" w:eastAsia="仿宋" w:cs="仿宋"/>
          <w:spacing w:val="6"/>
          <w:sz w:val="31"/>
          <w:szCs w:val="31"/>
        </w:rPr>
        <w:t>作任务而发生的人员支出和公用支出。</w:t>
      </w:r>
    </w:p>
    <w:p w14:paraId="31B1D37D">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十二、项目支出：</w:t>
      </w:r>
      <w:r>
        <w:rPr>
          <w:rFonts w:ascii="仿宋" w:hAnsi="仿宋" w:eastAsia="仿宋" w:cs="仿宋"/>
          <w:spacing w:val="7"/>
          <w:sz w:val="31"/>
          <w:szCs w:val="31"/>
        </w:rPr>
        <w:t>指在基本支出之外为完成特定行政任</w:t>
      </w:r>
      <w:r>
        <w:rPr>
          <w:rFonts w:ascii="仿宋" w:hAnsi="仿宋" w:eastAsia="仿宋" w:cs="仿宋"/>
          <w:sz w:val="31"/>
          <w:szCs w:val="31"/>
        </w:rPr>
        <w:t xml:space="preserve"> </w:t>
      </w:r>
      <w:r>
        <w:rPr>
          <w:rFonts w:ascii="仿宋" w:hAnsi="仿宋" w:eastAsia="仿宋" w:cs="仿宋"/>
          <w:spacing w:val="4"/>
          <w:sz w:val="31"/>
          <w:szCs w:val="31"/>
        </w:rPr>
        <w:t>务或事业发展目标所发生的支出。</w:t>
      </w:r>
    </w:p>
    <w:p w14:paraId="66FDB925">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十三、经营支出：</w:t>
      </w:r>
      <w:r>
        <w:rPr>
          <w:rFonts w:ascii="仿宋" w:hAnsi="仿宋" w:eastAsia="仿宋" w:cs="仿宋"/>
          <w:spacing w:val="7"/>
          <w:sz w:val="31"/>
          <w:szCs w:val="31"/>
        </w:rPr>
        <w:t>指事业单位在专业业务活动及其辅助</w:t>
      </w:r>
      <w:r>
        <w:rPr>
          <w:rFonts w:ascii="仿宋" w:hAnsi="仿宋" w:eastAsia="仿宋" w:cs="仿宋"/>
          <w:sz w:val="31"/>
          <w:szCs w:val="31"/>
        </w:rPr>
        <w:t xml:space="preserve"> </w:t>
      </w:r>
      <w:r>
        <w:rPr>
          <w:rFonts w:ascii="仿宋" w:hAnsi="仿宋" w:eastAsia="仿宋" w:cs="仿宋"/>
          <w:spacing w:val="5"/>
          <w:sz w:val="31"/>
          <w:szCs w:val="31"/>
        </w:rPr>
        <w:t>活动之外开展非独立核算经营活动发生的支出。</w:t>
      </w:r>
    </w:p>
    <w:p w14:paraId="12DBED37">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十四、上缴上级支出：</w:t>
      </w:r>
      <w:r>
        <w:rPr>
          <w:rFonts w:ascii="仿宋" w:hAnsi="仿宋" w:eastAsia="仿宋" w:cs="仿宋"/>
          <w:spacing w:val="7"/>
          <w:sz w:val="31"/>
          <w:szCs w:val="31"/>
        </w:rPr>
        <w:t>指事业单位按照有关</w:t>
      </w:r>
      <w:r>
        <w:rPr>
          <w:rFonts w:ascii="仿宋" w:hAnsi="仿宋" w:eastAsia="仿宋" w:cs="仿宋"/>
          <w:spacing w:val="6"/>
          <w:sz w:val="31"/>
          <w:szCs w:val="31"/>
        </w:rPr>
        <w:t>规定上缴上</w:t>
      </w:r>
      <w:r>
        <w:rPr>
          <w:rFonts w:ascii="仿宋" w:hAnsi="仿宋" w:eastAsia="仿宋" w:cs="仿宋"/>
          <w:sz w:val="31"/>
          <w:szCs w:val="31"/>
        </w:rPr>
        <w:t xml:space="preserve"> </w:t>
      </w:r>
      <w:r>
        <w:rPr>
          <w:rFonts w:ascii="仿宋" w:hAnsi="仿宋" w:eastAsia="仿宋" w:cs="仿宋"/>
          <w:spacing w:val="-2"/>
          <w:sz w:val="31"/>
          <w:szCs w:val="31"/>
        </w:rPr>
        <w:t>级单位的支出。</w:t>
      </w:r>
    </w:p>
    <w:p w14:paraId="56EC485E">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6" w:firstLineChars="200"/>
        <w:jc w:val="left"/>
        <w:textAlignment w:val="baseline"/>
        <w:outlineLvl w:val="9"/>
        <w:rPr>
          <w:rFonts w:ascii="仿宋" w:hAnsi="仿宋" w:eastAsia="仿宋" w:cs="仿宋"/>
          <w:sz w:val="31"/>
          <w:szCs w:val="31"/>
        </w:rPr>
      </w:pPr>
      <w:r>
        <w:rPr>
          <w:rFonts w:ascii="仿宋" w:hAnsi="仿宋" w:eastAsia="仿宋" w:cs="仿宋"/>
          <w:b/>
          <w:bCs/>
          <w:spacing w:val="6"/>
          <w:sz w:val="31"/>
          <w:szCs w:val="31"/>
        </w:rPr>
        <w:t>十五、对附属单位补助支出：</w:t>
      </w:r>
      <w:r>
        <w:rPr>
          <w:rFonts w:ascii="仿宋" w:hAnsi="仿宋" w:eastAsia="仿宋" w:cs="仿宋"/>
          <w:spacing w:val="6"/>
          <w:sz w:val="31"/>
          <w:szCs w:val="31"/>
        </w:rPr>
        <w:t>指事业单位用财政补助收</w:t>
      </w:r>
      <w:r>
        <w:rPr>
          <w:rFonts w:ascii="仿宋" w:hAnsi="仿宋" w:eastAsia="仿宋" w:cs="仿宋"/>
          <w:spacing w:val="9"/>
          <w:sz w:val="31"/>
          <w:szCs w:val="31"/>
        </w:rPr>
        <w:t xml:space="preserve"> </w:t>
      </w:r>
      <w:r>
        <w:rPr>
          <w:rFonts w:ascii="仿宋" w:hAnsi="仿宋" w:eastAsia="仿宋" w:cs="仿宋"/>
          <w:spacing w:val="8"/>
          <w:sz w:val="31"/>
          <w:szCs w:val="31"/>
        </w:rPr>
        <w:t>入之外的收入对附属单位补助发生的支出。</w:t>
      </w:r>
    </w:p>
    <w:p w14:paraId="419AE8DE">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十六、“三公”经费：</w:t>
      </w:r>
      <w:r>
        <w:rPr>
          <w:rFonts w:ascii="仿宋" w:hAnsi="仿宋" w:eastAsia="仿宋" w:cs="仿宋"/>
          <w:spacing w:val="7"/>
          <w:sz w:val="31"/>
          <w:szCs w:val="31"/>
        </w:rPr>
        <w:t>纳入省级财政预决算</w:t>
      </w:r>
      <w:r>
        <w:rPr>
          <w:rFonts w:ascii="仿宋" w:hAnsi="仿宋" w:eastAsia="仿宋" w:cs="仿宋"/>
          <w:spacing w:val="6"/>
          <w:sz w:val="31"/>
          <w:szCs w:val="31"/>
        </w:rPr>
        <w:t>管理的“三</w:t>
      </w:r>
      <w:r>
        <w:rPr>
          <w:rFonts w:ascii="仿宋" w:hAnsi="仿宋" w:eastAsia="仿宋" w:cs="仿宋"/>
          <w:sz w:val="31"/>
          <w:szCs w:val="31"/>
        </w:rPr>
        <w:t xml:space="preserve">  </w:t>
      </w:r>
      <w:r>
        <w:rPr>
          <w:rFonts w:ascii="仿宋" w:hAnsi="仿宋" w:eastAsia="仿宋" w:cs="仿宋"/>
          <w:spacing w:val="9"/>
          <w:sz w:val="31"/>
          <w:szCs w:val="31"/>
        </w:rPr>
        <w:t>公”经费，是指省级部门用财政拨款安排的因公出国（境）</w:t>
      </w:r>
      <w:r>
        <w:rPr>
          <w:rFonts w:ascii="仿宋" w:hAnsi="仿宋" w:eastAsia="仿宋" w:cs="仿宋"/>
          <w:spacing w:val="3"/>
          <w:sz w:val="31"/>
          <w:szCs w:val="31"/>
        </w:rPr>
        <w:t xml:space="preserve">  </w:t>
      </w:r>
      <w:r>
        <w:rPr>
          <w:rFonts w:ascii="仿宋" w:hAnsi="仿宋" w:eastAsia="仿宋" w:cs="仿宋"/>
          <w:spacing w:val="9"/>
          <w:sz w:val="31"/>
          <w:szCs w:val="31"/>
        </w:rPr>
        <w:t>费、公务用车购置及运行维护费和公务接待费。是党</w:t>
      </w:r>
      <w:r>
        <w:rPr>
          <w:rFonts w:ascii="仿宋" w:hAnsi="仿宋" w:eastAsia="仿宋" w:cs="仿宋"/>
          <w:spacing w:val="8"/>
          <w:sz w:val="31"/>
          <w:szCs w:val="31"/>
        </w:rPr>
        <w:t>政机关</w:t>
      </w:r>
      <w:r>
        <w:rPr>
          <w:rFonts w:ascii="仿宋" w:hAnsi="仿宋" w:eastAsia="仿宋" w:cs="仿宋"/>
          <w:sz w:val="31"/>
          <w:szCs w:val="31"/>
        </w:rPr>
        <w:t xml:space="preserve">  </w:t>
      </w:r>
      <w:r>
        <w:rPr>
          <w:rFonts w:ascii="仿宋" w:hAnsi="仿宋" w:eastAsia="仿宋" w:cs="仿宋"/>
          <w:spacing w:val="9"/>
          <w:sz w:val="31"/>
          <w:szCs w:val="31"/>
        </w:rPr>
        <w:t>维持运转或完成特定工作任务所开支的相关支出，</w:t>
      </w:r>
      <w:r>
        <w:rPr>
          <w:rFonts w:ascii="仿宋" w:hAnsi="仿宋" w:eastAsia="仿宋" w:cs="仿宋"/>
          <w:spacing w:val="8"/>
          <w:sz w:val="31"/>
          <w:szCs w:val="31"/>
        </w:rPr>
        <w:t>是政府行</w:t>
      </w:r>
      <w:r>
        <w:rPr>
          <w:rFonts w:ascii="仿宋" w:hAnsi="仿宋" w:eastAsia="仿宋" w:cs="仿宋"/>
          <w:sz w:val="31"/>
          <w:szCs w:val="31"/>
        </w:rPr>
        <w:t xml:space="preserve">  </w:t>
      </w:r>
      <w:r>
        <w:rPr>
          <w:rFonts w:ascii="仿宋" w:hAnsi="仿宋" w:eastAsia="仿宋" w:cs="仿宋"/>
          <w:spacing w:val="-12"/>
          <w:sz w:val="31"/>
          <w:szCs w:val="31"/>
        </w:rPr>
        <w:t>政开支的一部分。其中，</w:t>
      </w:r>
      <w:r>
        <w:rPr>
          <w:rFonts w:ascii="仿宋" w:hAnsi="仿宋" w:eastAsia="仿宋" w:cs="仿宋"/>
          <w:spacing w:val="-46"/>
          <w:sz w:val="31"/>
          <w:szCs w:val="31"/>
        </w:rPr>
        <w:t xml:space="preserve"> </w:t>
      </w:r>
      <w:r>
        <w:rPr>
          <w:rFonts w:ascii="仿宋" w:hAnsi="仿宋" w:eastAsia="仿宋" w:cs="仿宋"/>
          <w:spacing w:val="-12"/>
          <w:sz w:val="31"/>
          <w:szCs w:val="31"/>
        </w:rPr>
        <w:t>因公出国（境）费反映公</w:t>
      </w:r>
      <w:r>
        <w:rPr>
          <w:rFonts w:ascii="仿宋" w:hAnsi="仿宋" w:eastAsia="仿宋" w:cs="仿宋"/>
          <w:spacing w:val="-13"/>
          <w:sz w:val="31"/>
          <w:szCs w:val="31"/>
        </w:rPr>
        <w:t>务出国（境）</w:t>
      </w:r>
    </w:p>
    <w:p w14:paraId="3C321349">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20" w:firstLineChars="200"/>
        <w:jc w:val="left"/>
        <w:textAlignment w:val="baseline"/>
        <w:outlineLvl w:val="9"/>
        <w:rPr>
          <w:rFonts w:ascii="仿宋" w:hAnsi="仿宋" w:eastAsia="仿宋" w:cs="仿宋"/>
          <w:sz w:val="31"/>
          <w:szCs w:val="31"/>
        </w:rPr>
        <w:sectPr>
          <w:footerReference r:id="rId15" w:type="default"/>
          <w:pgSz w:w="11907" w:h="16839"/>
          <w:pgMar w:top="1431" w:right="1646" w:bottom="1153" w:left="1785" w:header="0" w:footer="965" w:gutter="0"/>
          <w:pgNumType w:fmt="decimal"/>
          <w:cols w:space="720" w:num="1"/>
        </w:sectPr>
      </w:pPr>
    </w:p>
    <w:p w14:paraId="0A1203A1">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16" w:firstLineChars="200"/>
        <w:jc w:val="left"/>
        <w:textAlignment w:val="baseline"/>
        <w:outlineLvl w:val="9"/>
        <w:rPr>
          <w:rFonts w:ascii="仿宋" w:hAnsi="仿宋" w:eastAsia="仿宋" w:cs="仿宋"/>
          <w:sz w:val="31"/>
          <w:szCs w:val="31"/>
        </w:rPr>
      </w:pPr>
      <w:r>
        <w:rPr>
          <w:rFonts w:ascii="仿宋" w:hAnsi="仿宋" w:eastAsia="仿宋" w:cs="仿宋"/>
          <w:spacing w:val="-1"/>
          <w:sz w:val="31"/>
          <w:szCs w:val="31"/>
        </w:rPr>
        <w:t>的国际旅费、国外城市间交通费、住宿费、伙食费、培训费、</w:t>
      </w:r>
      <w:r>
        <w:rPr>
          <w:rFonts w:ascii="仿宋" w:hAnsi="仿宋" w:eastAsia="仿宋" w:cs="仿宋"/>
          <w:spacing w:val="16"/>
          <w:sz w:val="31"/>
          <w:szCs w:val="31"/>
        </w:rPr>
        <w:t xml:space="preserve"> </w:t>
      </w:r>
      <w:r>
        <w:rPr>
          <w:rFonts w:ascii="仿宋" w:hAnsi="仿宋" w:eastAsia="仿宋" w:cs="仿宋"/>
          <w:spacing w:val="9"/>
          <w:sz w:val="31"/>
          <w:szCs w:val="31"/>
        </w:rPr>
        <w:t>公杂费等支出；公务用车购置及运行费反映单位公务用</w:t>
      </w:r>
      <w:r>
        <w:rPr>
          <w:rFonts w:ascii="仿宋" w:hAnsi="仿宋" w:eastAsia="仿宋" w:cs="仿宋"/>
          <w:spacing w:val="8"/>
          <w:sz w:val="31"/>
          <w:szCs w:val="31"/>
        </w:rPr>
        <w:t>车车</w:t>
      </w:r>
      <w:r>
        <w:rPr>
          <w:rFonts w:ascii="仿宋" w:hAnsi="仿宋" w:eastAsia="仿宋" w:cs="仿宋"/>
          <w:sz w:val="31"/>
          <w:szCs w:val="31"/>
        </w:rPr>
        <w:t xml:space="preserve"> </w:t>
      </w:r>
      <w:r>
        <w:rPr>
          <w:rFonts w:ascii="仿宋" w:hAnsi="仿宋" w:eastAsia="仿宋" w:cs="仿宋"/>
          <w:spacing w:val="9"/>
          <w:sz w:val="31"/>
          <w:szCs w:val="31"/>
        </w:rPr>
        <w:t>辆购置支出（含车辆购置税）及燃料费、维修费、过桥</w:t>
      </w:r>
      <w:r>
        <w:rPr>
          <w:rFonts w:ascii="仿宋" w:hAnsi="仿宋" w:eastAsia="仿宋" w:cs="仿宋"/>
          <w:spacing w:val="8"/>
          <w:sz w:val="31"/>
          <w:szCs w:val="31"/>
        </w:rPr>
        <w:t>过路</w:t>
      </w:r>
      <w:r>
        <w:rPr>
          <w:rFonts w:ascii="仿宋" w:hAnsi="仿宋" w:eastAsia="仿宋" w:cs="仿宋"/>
          <w:sz w:val="31"/>
          <w:szCs w:val="31"/>
        </w:rPr>
        <w:t xml:space="preserve"> </w:t>
      </w:r>
      <w:r>
        <w:rPr>
          <w:rFonts w:ascii="仿宋" w:hAnsi="仿宋" w:eastAsia="仿宋" w:cs="仿宋"/>
          <w:spacing w:val="9"/>
          <w:sz w:val="31"/>
          <w:szCs w:val="31"/>
        </w:rPr>
        <w:t>费、保险费、安全奖励费等支出；公务接待费反映单位</w:t>
      </w:r>
      <w:r>
        <w:rPr>
          <w:rFonts w:ascii="仿宋" w:hAnsi="仿宋" w:eastAsia="仿宋" w:cs="仿宋"/>
          <w:spacing w:val="8"/>
          <w:sz w:val="31"/>
          <w:szCs w:val="31"/>
        </w:rPr>
        <w:t>按规</w:t>
      </w:r>
      <w:r>
        <w:rPr>
          <w:rFonts w:ascii="仿宋" w:hAnsi="仿宋" w:eastAsia="仿宋" w:cs="仿宋"/>
          <w:sz w:val="31"/>
          <w:szCs w:val="31"/>
        </w:rPr>
        <w:t xml:space="preserve"> </w:t>
      </w:r>
      <w:r>
        <w:rPr>
          <w:rFonts w:ascii="仿宋" w:hAnsi="仿宋" w:eastAsia="仿宋" w:cs="仿宋"/>
          <w:spacing w:val="7"/>
          <w:sz w:val="31"/>
          <w:szCs w:val="31"/>
        </w:rPr>
        <w:t>定开支的各类公务接待（含外宾接待）支出。</w:t>
      </w:r>
    </w:p>
    <w:p w14:paraId="4521CA25">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50" w:firstLineChars="200"/>
        <w:jc w:val="left"/>
        <w:textAlignment w:val="baseline"/>
        <w:outlineLvl w:val="9"/>
        <w:rPr>
          <w:rFonts w:ascii="仿宋" w:hAnsi="仿宋" w:eastAsia="仿宋" w:cs="仿宋"/>
          <w:sz w:val="31"/>
          <w:szCs w:val="31"/>
        </w:rPr>
      </w:pPr>
      <w:r>
        <w:rPr>
          <w:rFonts w:ascii="仿宋" w:hAnsi="仿宋" w:eastAsia="仿宋" w:cs="仿宋"/>
          <w:b/>
          <w:bCs/>
          <w:spacing w:val="7"/>
          <w:sz w:val="31"/>
          <w:szCs w:val="31"/>
        </w:rPr>
        <w:t>十七、机关运行经费：</w:t>
      </w:r>
      <w:r>
        <w:rPr>
          <w:rFonts w:ascii="仿宋" w:hAnsi="仿宋" w:eastAsia="仿宋" w:cs="仿宋"/>
          <w:spacing w:val="7"/>
          <w:sz w:val="31"/>
          <w:szCs w:val="31"/>
        </w:rPr>
        <w:t>指为保障行政单位（包</w:t>
      </w:r>
      <w:r>
        <w:rPr>
          <w:rFonts w:ascii="仿宋" w:hAnsi="仿宋" w:eastAsia="仿宋" w:cs="仿宋"/>
          <w:spacing w:val="6"/>
          <w:sz w:val="31"/>
          <w:szCs w:val="31"/>
        </w:rPr>
        <w:t>括参照公</w:t>
      </w:r>
      <w:r>
        <w:rPr>
          <w:rFonts w:ascii="仿宋" w:hAnsi="仿宋" w:eastAsia="仿宋" w:cs="仿宋"/>
          <w:sz w:val="31"/>
          <w:szCs w:val="31"/>
        </w:rPr>
        <w:t xml:space="preserve"> </w:t>
      </w:r>
      <w:r>
        <w:rPr>
          <w:rFonts w:ascii="仿宋" w:hAnsi="仿宋" w:eastAsia="仿宋" w:cs="仿宋"/>
          <w:spacing w:val="9"/>
          <w:sz w:val="31"/>
          <w:szCs w:val="31"/>
        </w:rPr>
        <w:t>务员法管理的事业单位）运行用于购买货物和服务的</w:t>
      </w:r>
      <w:r>
        <w:rPr>
          <w:rFonts w:ascii="仿宋" w:hAnsi="仿宋" w:eastAsia="仿宋" w:cs="仿宋"/>
          <w:spacing w:val="8"/>
          <w:sz w:val="31"/>
          <w:szCs w:val="31"/>
        </w:rPr>
        <w:t>各项资</w:t>
      </w:r>
      <w:r>
        <w:rPr>
          <w:rFonts w:ascii="仿宋" w:hAnsi="仿宋" w:eastAsia="仿宋" w:cs="仿宋"/>
          <w:sz w:val="31"/>
          <w:szCs w:val="31"/>
        </w:rPr>
        <w:t xml:space="preserve"> </w:t>
      </w:r>
      <w:r>
        <w:rPr>
          <w:rFonts w:ascii="仿宋" w:hAnsi="仿宋" w:eastAsia="仿宋" w:cs="仿宋"/>
          <w:spacing w:val="6"/>
          <w:sz w:val="31"/>
          <w:szCs w:val="31"/>
        </w:rPr>
        <w:t>金，包括办公费、</w:t>
      </w:r>
      <w:r>
        <w:rPr>
          <w:rFonts w:ascii="仿宋" w:hAnsi="仿宋" w:eastAsia="仿宋" w:cs="仿宋"/>
          <w:spacing w:val="-82"/>
          <w:sz w:val="31"/>
          <w:szCs w:val="31"/>
        </w:rPr>
        <w:t xml:space="preserve"> </w:t>
      </w:r>
      <w:r>
        <w:rPr>
          <w:rFonts w:ascii="仿宋" w:hAnsi="仿宋" w:eastAsia="仿宋" w:cs="仿宋"/>
          <w:spacing w:val="6"/>
          <w:sz w:val="31"/>
          <w:szCs w:val="31"/>
        </w:rPr>
        <w:t>印刷费、邮电费、差旅费、会议费、福利</w:t>
      </w:r>
      <w:r>
        <w:rPr>
          <w:rFonts w:ascii="仿宋" w:hAnsi="仿宋" w:eastAsia="仿宋" w:cs="仿宋"/>
          <w:sz w:val="31"/>
          <w:szCs w:val="31"/>
        </w:rPr>
        <w:t xml:space="preserve"> </w:t>
      </w:r>
      <w:r>
        <w:rPr>
          <w:rFonts w:ascii="仿宋" w:hAnsi="仿宋" w:eastAsia="仿宋" w:cs="仿宋"/>
          <w:spacing w:val="9"/>
          <w:sz w:val="31"/>
          <w:szCs w:val="31"/>
        </w:rPr>
        <w:t>费、日常维修费、专用材料及一般设备购置费、</w:t>
      </w:r>
      <w:r>
        <w:rPr>
          <w:rFonts w:ascii="仿宋" w:hAnsi="仿宋" w:eastAsia="仿宋" w:cs="仿宋"/>
          <w:spacing w:val="8"/>
          <w:sz w:val="31"/>
          <w:szCs w:val="31"/>
        </w:rPr>
        <w:t>办公用房水</w:t>
      </w:r>
      <w:r>
        <w:rPr>
          <w:rFonts w:ascii="仿宋" w:hAnsi="仿宋" w:eastAsia="仿宋" w:cs="仿宋"/>
          <w:sz w:val="31"/>
          <w:szCs w:val="31"/>
        </w:rPr>
        <w:t xml:space="preserve"> </w:t>
      </w:r>
      <w:r>
        <w:rPr>
          <w:rFonts w:ascii="仿宋" w:hAnsi="仿宋" w:eastAsia="仿宋" w:cs="仿宋"/>
          <w:spacing w:val="9"/>
          <w:sz w:val="31"/>
          <w:szCs w:val="31"/>
        </w:rPr>
        <w:t>电费、办公用房取暖费、办公用房物业管理费、</w:t>
      </w:r>
      <w:r>
        <w:rPr>
          <w:rFonts w:ascii="仿宋" w:hAnsi="仿宋" w:eastAsia="仿宋" w:cs="仿宋"/>
          <w:spacing w:val="8"/>
          <w:sz w:val="31"/>
          <w:szCs w:val="31"/>
        </w:rPr>
        <w:t>公务用车运</w:t>
      </w:r>
      <w:r>
        <w:rPr>
          <w:rFonts w:ascii="仿宋" w:hAnsi="仿宋" w:eastAsia="仿宋" w:cs="仿宋"/>
          <w:sz w:val="31"/>
          <w:szCs w:val="31"/>
        </w:rPr>
        <w:t xml:space="preserve"> </w:t>
      </w:r>
      <w:r>
        <w:rPr>
          <w:rFonts w:ascii="仿宋" w:hAnsi="仿宋" w:eastAsia="仿宋" w:cs="仿宋"/>
          <w:spacing w:val="3"/>
          <w:sz w:val="31"/>
          <w:szCs w:val="31"/>
        </w:rPr>
        <w:t>行维护费以及其他费用。</w:t>
      </w:r>
    </w:p>
    <w:p w14:paraId="3640BE73">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46" w:firstLineChars="200"/>
        <w:jc w:val="left"/>
        <w:textAlignment w:val="baseline"/>
        <w:outlineLvl w:val="9"/>
        <w:rPr>
          <w:rFonts w:ascii="仿宋" w:hAnsi="仿宋" w:eastAsia="仿宋" w:cs="仿宋"/>
          <w:sz w:val="31"/>
          <w:szCs w:val="31"/>
        </w:rPr>
      </w:pPr>
      <w:r>
        <w:rPr>
          <w:rFonts w:ascii="仿宋" w:hAnsi="仿宋" w:eastAsia="仿宋" w:cs="仿宋"/>
          <w:b/>
          <w:bCs/>
          <w:spacing w:val="6"/>
          <w:sz w:val="31"/>
          <w:szCs w:val="31"/>
        </w:rPr>
        <w:t>十八、</w:t>
      </w:r>
      <w:r>
        <w:rPr>
          <w:rFonts w:ascii="宋体" w:hAnsi="宋体" w:eastAsia="宋体" w:cs="宋体"/>
          <w:b/>
          <w:bCs/>
          <w:spacing w:val="6"/>
          <w:sz w:val="31"/>
          <w:szCs w:val="31"/>
        </w:rPr>
        <w:t>******</w:t>
      </w:r>
      <w:r>
        <w:rPr>
          <w:rFonts w:ascii="仿宋" w:hAnsi="仿宋" w:eastAsia="仿宋" w:cs="仿宋"/>
          <w:spacing w:val="6"/>
          <w:sz w:val="31"/>
          <w:szCs w:val="31"/>
        </w:rPr>
        <w:t>（对部门使用的所有“项”级政府收支分</w:t>
      </w:r>
      <w:r>
        <w:rPr>
          <w:rFonts w:ascii="仿宋" w:hAnsi="仿宋" w:eastAsia="仿宋" w:cs="仿宋"/>
          <w:spacing w:val="5"/>
          <w:sz w:val="31"/>
          <w:szCs w:val="31"/>
        </w:rPr>
        <w:t xml:space="preserve"> </w:t>
      </w:r>
      <w:r>
        <w:rPr>
          <w:rFonts w:ascii="仿宋" w:hAnsi="仿宋" w:eastAsia="仿宋" w:cs="仿宋"/>
          <w:spacing w:val="7"/>
          <w:sz w:val="31"/>
          <w:szCs w:val="31"/>
        </w:rPr>
        <w:t>类科目，参照《</w:t>
      </w:r>
      <w:r>
        <w:rPr>
          <w:rFonts w:ascii="宋体" w:hAnsi="宋体" w:eastAsia="宋体" w:cs="宋体"/>
          <w:spacing w:val="7"/>
          <w:sz w:val="31"/>
          <w:szCs w:val="31"/>
        </w:rPr>
        <w:t>2023</w:t>
      </w:r>
      <w:r>
        <w:rPr>
          <w:rFonts w:ascii="仿宋" w:hAnsi="仿宋" w:eastAsia="仿宋" w:cs="仿宋"/>
          <w:spacing w:val="7"/>
          <w:sz w:val="31"/>
          <w:szCs w:val="31"/>
        </w:rPr>
        <w:t>年政府收支分类科目》中的科目说明和</w:t>
      </w:r>
      <w:r>
        <w:rPr>
          <w:rFonts w:ascii="仿宋" w:hAnsi="仿宋" w:eastAsia="仿宋" w:cs="仿宋"/>
          <w:spacing w:val="18"/>
          <w:sz w:val="31"/>
          <w:szCs w:val="31"/>
        </w:rPr>
        <w:t xml:space="preserve"> </w:t>
      </w:r>
      <w:r>
        <w:rPr>
          <w:rFonts w:ascii="仿宋" w:hAnsi="仿宋" w:eastAsia="仿宋" w:cs="仿宋"/>
          <w:spacing w:val="5"/>
          <w:sz w:val="31"/>
          <w:szCs w:val="31"/>
        </w:rPr>
        <w:t>中央部门决算公开内容进行说明</w:t>
      </w:r>
      <w:r>
        <w:rPr>
          <w:rFonts w:ascii="仿宋" w:hAnsi="仿宋" w:eastAsia="仿宋" w:cs="仿宋"/>
          <w:spacing w:val="19"/>
          <w:sz w:val="31"/>
          <w:szCs w:val="31"/>
        </w:rPr>
        <w:t>）：</w:t>
      </w:r>
    </w:p>
    <w:p w14:paraId="4B955776">
      <w:pPr>
        <w:keepNext w:val="0"/>
        <w:keepLines w:val="0"/>
        <w:pageBreakBefore w:val="0"/>
        <w:widowControl w:val="0"/>
        <w:kinsoku/>
        <w:wordWrap/>
        <w:overflowPunct w:val="0"/>
        <w:topLinePunct w:val="0"/>
        <w:autoSpaceDE w:val="0"/>
        <w:autoSpaceDN w:val="0"/>
        <w:bidi w:val="0"/>
        <w:adjustRightInd w:val="0"/>
        <w:snapToGrid w:val="0"/>
        <w:spacing w:line="576" w:lineRule="exact"/>
        <w:ind w:left="0" w:right="0" w:firstLine="620" w:firstLineChars="200"/>
        <w:jc w:val="left"/>
        <w:textAlignment w:val="baseline"/>
        <w:outlineLvl w:val="9"/>
        <w:rPr>
          <w:rFonts w:ascii="仿宋" w:hAnsi="仿宋" w:eastAsia="仿宋" w:cs="仿宋"/>
          <w:sz w:val="31"/>
          <w:szCs w:val="31"/>
        </w:rPr>
      </w:pPr>
    </w:p>
    <w:sectPr>
      <w:footerReference r:id="rId16" w:type="default"/>
      <w:pgSz w:w="11907" w:h="16839"/>
      <w:pgMar w:top="1431" w:right="1705" w:bottom="1153" w:left="1785" w:header="0" w:footer="965"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D33E3">
    <w:pPr>
      <w:spacing w:line="177" w:lineRule="auto"/>
      <w:ind w:left="4138"/>
      <w:rPr>
        <w:rFonts w:ascii="Times New Roman" w:hAnsi="Times New Roman" w:eastAsia="Times New Roman" w:cs="Times New Roman"/>
        <w:sz w:val="21"/>
        <w:szCs w:val="21"/>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02358C">
    <w:pPr>
      <w:spacing w:line="176" w:lineRule="auto"/>
      <w:ind w:left="4068"/>
      <w:rPr>
        <w:rFonts w:ascii="Times New Roman" w:hAnsi="Times New Roman" w:eastAsia="Times New Roman" w:cs="Times New Roman"/>
        <w:sz w:val="21"/>
        <w:szCs w:val="21"/>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898F5">
    <w:pPr>
      <w:spacing w:line="176" w:lineRule="auto"/>
      <w:rPr>
        <w:rFonts w:ascii="Times New Roman" w:hAnsi="Times New Roman" w:eastAsia="Times New Roman" w:cs="Times New Roman"/>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73FCD9">
                          <w:pPr>
                            <w:pStyle w:val="3"/>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5773FCD9">
                    <w:pPr>
                      <w:pStyle w:val="3"/>
                    </w:pP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A52C5">
    <w:pPr>
      <w:spacing w:line="176" w:lineRule="auto"/>
      <w:ind w:left="4068"/>
      <w:rPr>
        <w:rFonts w:ascii="Times New Roman" w:hAnsi="Times New Roman" w:eastAsia="Times New Roman" w:cs="Times New Roman"/>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CB0BF">
    <w:pPr>
      <w:spacing w:line="177" w:lineRule="auto"/>
      <w:ind w:left="4118"/>
      <w:rPr>
        <w:rFonts w:ascii="Times New Roman" w:hAnsi="Times New Roman" w:eastAsia="Times New Roman" w:cs="Times New Roman"/>
        <w:sz w:val="21"/>
        <w:szCs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6CE43">
    <w:pPr>
      <w:spacing w:line="176" w:lineRule="auto"/>
      <w:ind w:left="4122"/>
      <w:rPr>
        <w:rFonts w:ascii="Times New Roman" w:hAnsi="Times New Roman" w:eastAsia="Times New Roman" w:cs="Times New Roman"/>
        <w:sz w:val="21"/>
        <w:szCs w:val="21"/>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EA9286">
    <w:pPr>
      <w:spacing w:line="177" w:lineRule="auto"/>
      <w:rPr>
        <w:rFonts w:hint="eastAsia" w:ascii="Times New Roman" w:hAnsi="Times New Roman" w:eastAsia="宋体" w:cs="Times New Roman"/>
        <w:sz w:val="21"/>
        <w:szCs w:val="21"/>
        <w:lang w:val="en-US"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9D9F8">
    <w:pPr>
      <w:spacing w:line="177" w:lineRule="auto"/>
      <w:ind w:left="4117"/>
      <w:rPr>
        <w:rFonts w:ascii="Times New Roman" w:hAnsi="Times New Roman" w:eastAsia="Times New Roman" w:cs="Times New Roman"/>
        <w:sz w:val="21"/>
        <w:szCs w:val="21"/>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DF6E0">
    <w:pPr>
      <w:spacing w:line="176" w:lineRule="auto"/>
      <w:ind w:left="4123"/>
      <w:rPr>
        <w:rFonts w:ascii="Times New Roman" w:hAnsi="Times New Roman" w:eastAsia="Times New Roman" w:cs="Times New Roman"/>
        <w:sz w:val="21"/>
        <w:szCs w:val="21"/>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90763">
    <w:pPr>
      <w:spacing w:line="177" w:lineRule="auto"/>
      <w:ind w:left="4068"/>
      <w:rPr>
        <w:rFonts w:ascii="Times New Roman" w:hAnsi="Times New Roman" w:eastAsia="Times New Roman" w:cs="Times New Roman"/>
        <w:sz w:val="21"/>
        <w:szCs w:val="21"/>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2F57E2">
    <w:pPr>
      <w:spacing w:line="177" w:lineRule="auto"/>
      <w:ind w:left="4068"/>
      <w:rPr>
        <w:rFonts w:ascii="Times New Roman" w:hAnsi="Times New Roman" w:eastAsia="Times New Roman" w:cs="Times New Roman"/>
        <w:sz w:val="21"/>
        <w:szCs w:val="21"/>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CC8A6">
    <w:pPr>
      <w:spacing w:line="177" w:lineRule="auto"/>
      <w:ind w:left="4068"/>
      <w:rPr>
        <w:rFonts w:ascii="Times New Roman" w:hAnsi="Times New Roman" w:eastAsia="Times New Roman" w:cs="Times New Roman"/>
        <w:sz w:val="21"/>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defaultTabStop w:val="499"/>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docVars>
    <w:docVar w:name="commondata" w:val="eyJoZGlkIjoiZDRiZmJkMWZlODkyOTAwOGUxZGI3MDNhZWRjZjA5YTcifQ=="/>
  </w:docVars>
  <w:rsids>
    <w:rsidRoot w:val="00000000"/>
    <w:rsid w:val="03AC070B"/>
    <w:rsid w:val="06452248"/>
    <w:rsid w:val="0834138F"/>
    <w:rsid w:val="0A2E65F6"/>
    <w:rsid w:val="0C4F44A3"/>
    <w:rsid w:val="0DD54E75"/>
    <w:rsid w:val="107345BF"/>
    <w:rsid w:val="159D5775"/>
    <w:rsid w:val="18380FB2"/>
    <w:rsid w:val="1DE5415D"/>
    <w:rsid w:val="1E8A6AB3"/>
    <w:rsid w:val="26A60202"/>
    <w:rsid w:val="2D391543"/>
    <w:rsid w:val="35D30719"/>
    <w:rsid w:val="3B1831AC"/>
    <w:rsid w:val="3F1C0F4C"/>
    <w:rsid w:val="3F600CF6"/>
    <w:rsid w:val="40F31238"/>
    <w:rsid w:val="42BB24B5"/>
    <w:rsid w:val="47B75005"/>
    <w:rsid w:val="4AFD5D93"/>
    <w:rsid w:val="4F7E3CB9"/>
    <w:rsid w:val="529009CE"/>
    <w:rsid w:val="53694469"/>
    <w:rsid w:val="57DF07A7"/>
    <w:rsid w:val="5BA83A96"/>
    <w:rsid w:val="5BFE196B"/>
    <w:rsid w:val="5C841E70"/>
    <w:rsid w:val="63147CC6"/>
    <w:rsid w:val="652E1513"/>
    <w:rsid w:val="6AB1570C"/>
    <w:rsid w:val="6AEB57B0"/>
    <w:rsid w:val="6FC82564"/>
    <w:rsid w:val="71C73D89"/>
    <w:rsid w:val="72E12BDD"/>
    <w:rsid w:val="75A93F0B"/>
    <w:rsid w:val="77642B72"/>
    <w:rsid w:val="7C23124E"/>
    <w:rsid w:val="7D7D19F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0.png"/><Relationship Id="rId26" Type="http://schemas.openxmlformats.org/officeDocument/2006/relationships/image" Target="media/image9.jpeg"/><Relationship Id="rId25" Type="http://schemas.openxmlformats.org/officeDocument/2006/relationships/image" Target="media/image8.jpeg"/><Relationship Id="rId24" Type="http://schemas.openxmlformats.org/officeDocument/2006/relationships/image" Target="media/image7.jpeg"/><Relationship Id="rId23" Type="http://schemas.openxmlformats.org/officeDocument/2006/relationships/image" Target="media/image6.jpeg"/><Relationship Id="rId22" Type="http://schemas.openxmlformats.org/officeDocument/2006/relationships/image" Target="media/image5.jpeg"/><Relationship Id="rId21" Type="http://schemas.openxmlformats.org/officeDocument/2006/relationships/image" Target="media/image4.jpeg"/><Relationship Id="rId20" Type="http://schemas.openxmlformats.org/officeDocument/2006/relationships/image" Target="media/image3.jpeg"/><Relationship Id="rId2" Type="http://schemas.openxmlformats.org/officeDocument/2006/relationships/settings" Target="settings.xml"/><Relationship Id="rId19" Type="http://schemas.openxmlformats.org/officeDocument/2006/relationships/image" Target="media/image2.jpe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20</Pages>
  <Words>5947</Words>
  <Characters>6359</Characters>
  <TotalTime>4</TotalTime>
  <ScaleCrop>false</ScaleCrop>
  <LinksUpToDate>false</LinksUpToDate>
  <CharactersWithSpaces>6461</CharactersWithSpaces>
  <Application>WPS Office_12.1.0.18912_F1E327BC-269C-435d-A152-05C5408002CA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2024-08-07T08:54:00Z</dcterms:created>
  <dc:creator>王志强</dc:creator>
  <cp:lastModifiedBy>喜欢 的小丸子</cp:lastModifiedBy>
  <cp:lastPrinted>2024-09-05T07:53:00Z</cp:lastPrinted>
  <dcterms:modified xsi:type="dcterms:W3CDTF">2024-11-27T08:51:48Z</dcterms:modified>
  <dc:title>2015年度部门决算公开模板</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2024-08-26T16:13:13Z</vt:filetime>
  </property>
  <property fmtid="{D5CDD505-2E9C-101B-9397-08002B2CF9AE}" pid="4" name="KSOProductBuildVer">
    <vt:lpwstr>2052-12.1.0.18912</vt:lpwstr>
  </property>
  <property fmtid="{D5CDD505-2E9C-101B-9397-08002B2CF9AE}" pid="5" name="ICV">
    <vt:lpwstr>3799C08161924019956DC9AB07D06A81_13</vt:lpwstr>
  </property>
</Properties>
</file>