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719B9">
      <w:pPr>
        <w:spacing w:after="0" w:line="576" w:lineRule="exact"/>
        <w:jc w:val="center"/>
        <w:rPr>
          <w:rFonts w:ascii="Times New Roman" w:hAnsi="Times New Roman" w:eastAsia="方正小标宋简体" w:cs="Times New Roman"/>
          <w:sz w:val="30"/>
          <w:szCs w:val="30"/>
        </w:rPr>
      </w:pPr>
    </w:p>
    <w:p w14:paraId="1872B53C">
      <w:pPr>
        <w:spacing w:after="0" w:line="576" w:lineRule="exact"/>
        <w:jc w:val="center"/>
        <w:rPr>
          <w:rFonts w:hint="eastAsia" w:ascii="方正小标宋简体" w:hAnsi="华文中宋" w:eastAsia="方正小标宋简体" w:cs="Times New Roman"/>
          <w:b/>
          <w:sz w:val="44"/>
          <w:szCs w:val="44"/>
        </w:rPr>
      </w:pPr>
      <w:r>
        <w:rPr>
          <w:rFonts w:hint="eastAsia" w:ascii="方正小标宋简体" w:hAnsi="华文中宋" w:eastAsia="方正小标宋简体" w:cs="Times New Roman"/>
          <w:b/>
          <w:sz w:val="44"/>
          <w:szCs w:val="44"/>
        </w:rPr>
        <w:t>长春市南关区人民政府关于</w:t>
      </w:r>
      <w:r>
        <w:rPr>
          <w:rFonts w:hint="eastAsia" w:ascii="方正小标宋简体" w:hAnsi="Times New Roman" w:eastAsia="方正小标宋简体" w:cs="Times New Roman"/>
          <w:b/>
          <w:sz w:val="44"/>
          <w:szCs w:val="44"/>
        </w:rPr>
        <w:t>2024年</w:t>
      </w:r>
      <w:r>
        <w:rPr>
          <w:rFonts w:hint="eastAsia" w:ascii="方正小标宋简体" w:hAnsi="华文中宋" w:eastAsia="方正小标宋简体" w:cs="Times New Roman"/>
          <w:b/>
          <w:sz w:val="44"/>
          <w:szCs w:val="44"/>
        </w:rPr>
        <w:t>财政</w:t>
      </w:r>
    </w:p>
    <w:p w14:paraId="039F8F46">
      <w:pPr>
        <w:spacing w:after="0" w:line="576" w:lineRule="exact"/>
        <w:jc w:val="center"/>
        <w:rPr>
          <w:rFonts w:hint="eastAsia" w:ascii="方正小标宋简体" w:hAnsi="华文中宋" w:eastAsia="方正小标宋简体" w:cs="Times New Roman"/>
          <w:b/>
          <w:sz w:val="44"/>
          <w:szCs w:val="44"/>
        </w:rPr>
      </w:pPr>
      <w:r>
        <w:rPr>
          <w:rFonts w:hint="eastAsia" w:ascii="方正小标宋简体" w:hAnsi="华文中宋" w:eastAsia="方正小标宋简体" w:cs="Times New Roman"/>
          <w:b/>
          <w:sz w:val="44"/>
          <w:szCs w:val="44"/>
        </w:rPr>
        <w:t>决算（草案）和</w:t>
      </w:r>
      <w:r>
        <w:rPr>
          <w:rFonts w:hint="eastAsia" w:ascii="方正小标宋简体" w:hAnsi="Times New Roman" w:eastAsia="方正小标宋简体" w:cs="Times New Roman"/>
          <w:b/>
          <w:sz w:val="44"/>
          <w:szCs w:val="44"/>
        </w:rPr>
        <w:t>2025</w:t>
      </w:r>
      <w:r>
        <w:rPr>
          <w:rFonts w:hint="eastAsia" w:ascii="方正小标宋简体" w:hAnsi="华文中宋" w:eastAsia="方正小标宋简体" w:cs="Times New Roman"/>
          <w:b/>
          <w:sz w:val="44"/>
          <w:szCs w:val="44"/>
        </w:rPr>
        <w:t>年上半年预算</w:t>
      </w:r>
    </w:p>
    <w:p w14:paraId="1B48270E">
      <w:pPr>
        <w:spacing w:after="0" w:line="576" w:lineRule="exact"/>
        <w:jc w:val="center"/>
        <w:rPr>
          <w:rFonts w:ascii="方正小标宋简体" w:hAnsi="Times New Roman" w:eastAsia="方正小标宋简体" w:cs="Times New Roman"/>
          <w:b/>
          <w:sz w:val="44"/>
          <w:szCs w:val="44"/>
        </w:rPr>
      </w:pPr>
      <w:r>
        <w:rPr>
          <w:rFonts w:hint="eastAsia" w:ascii="方正小标宋简体" w:hAnsi="华文中宋" w:eastAsia="方正小标宋简体" w:cs="Times New Roman"/>
          <w:b/>
          <w:sz w:val="44"/>
          <w:szCs w:val="44"/>
        </w:rPr>
        <w:t>执行情况的报告</w:t>
      </w:r>
    </w:p>
    <w:p w14:paraId="3A0F0786">
      <w:pPr>
        <w:spacing w:after="0" w:line="576" w:lineRule="exact"/>
        <w:jc w:val="center"/>
        <w:rPr>
          <w:rFonts w:ascii="Times New Roman" w:hAnsi="Times New Roman" w:eastAsia="楷体_GB2312" w:cs="Times New Roman"/>
          <w:sz w:val="32"/>
          <w:szCs w:val="32"/>
        </w:rPr>
      </w:pPr>
    </w:p>
    <w:p w14:paraId="6DA0656F">
      <w:pPr>
        <w:spacing w:after="0" w:line="576" w:lineRule="exact"/>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 xml:space="preserve">区财政局局长  </w:t>
      </w:r>
      <w:r>
        <w:rPr>
          <w:rFonts w:hint="eastAsia" w:ascii="Times New Roman" w:hAnsi="Times New Roman" w:eastAsia="楷体_GB2312" w:cs="Times New Roman"/>
          <w:sz w:val="32"/>
          <w:szCs w:val="32"/>
        </w:rPr>
        <w:t>刘阳</w:t>
      </w:r>
    </w:p>
    <w:p w14:paraId="3D6057A6">
      <w:pPr>
        <w:spacing w:after="0" w:line="576" w:lineRule="exact"/>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202</w:t>
      </w:r>
      <w:r>
        <w:rPr>
          <w:rFonts w:hint="eastAsia" w:ascii="Times New Roman" w:hAnsi="Times New Roman" w:eastAsia="楷体_GB2312" w:cs="Times New Roman"/>
          <w:sz w:val="32"/>
          <w:szCs w:val="32"/>
        </w:rPr>
        <w:t>5</w:t>
      </w:r>
      <w:r>
        <w:rPr>
          <w:rFonts w:ascii="Times New Roman" w:hAnsi="Times New Roman" w:eastAsia="楷体_GB2312" w:cs="Times New Roman"/>
          <w:sz w:val="32"/>
          <w:szCs w:val="32"/>
        </w:rPr>
        <w:t>年</w:t>
      </w:r>
      <w:r>
        <w:rPr>
          <w:rFonts w:hint="eastAsia" w:ascii="Times New Roman" w:hAnsi="Times New Roman" w:eastAsia="楷体_GB2312" w:cs="Times New Roman"/>
          <w:sz w:val="32"/>
          <w:szCs w:val="32"/>
        </w:rPr>
        <w:t>8</w:t>
      </w:r>
      <w:r>
        <w:rPr>
          <w:rFonts w:ascii="Times New Roman" w:hAnsi="Times New Roman" w:eastAsia="楷体_GB2312" w:cs="Times New Roman"/>
          <w:sz w:val="32"/>
          <w:szCs w:val="32"/>
        </w:rPr>
        <w:t>月</w:t>
      </w:r>
      <w:r>
        <w:rPr>
          <w:rFonts w:hint="eastAsia" w:ascii="Times New Roman" w:hAnsi="Times New Roman" w:eastAsia="楷体_GB2312" w:cs="Times New Roman"/>
          <w:sz w:val="32"/>
          <w:szCs w:val="32"/>
        </w:rPr>
        <w:t>1</w:t>
      </w:r>
      <w:r>
        <w:rPr>
          <w:rFonts w:hint="eastAsia" w:ascii="Times New Roman" w:hAnsi="Times New Roman" w:eastAsia="楷体_GB2312" w:cs="Times New Roman"/>
          <w:sz w:val="32"/>
          <w:szCs w:val="32"/>
          <w:lang w:val="en-US" w:eastAsia="zh-CN"/>
        </w:rPr>
        <w:t>5</w:t>
      </w:r>
      <w:bookmarkStart w:id="0" w:name="_GoBack"/>
      <w:bookmarkEnd w:id="0"/>
      <w:r>
        <w:rPr>
          <w:rFonts w:hint="eastAsia" w:ascii="Times New Roman" w:hAnsi="Times New Roman" w:eastAsia="楷体_GB2312" w:cs="Times New Roman"/>
          <w:sz w:val="32"/>
          <w:szCs w:val="32"/>
        </w:rPr>
        <w:t>日</w:t>
      </w:r>
    </w:p>
    <w:p w14:paraId="340F4CC1">
      <w:pPr>
        <w:spacing w:after="0" w:line="576" w:lineRule="exact"/>
        <w:rPr>
          <w:rFonts w:ascii="Times New Roman" w:hAnsi="Times New Roman" w:eastAsia="华文仿宋" w:cs="Times New Roman"/>
          <w:sz w:val="32"/>
          <w:szCs w:val="32"/>
        </w:rPr>
      </w:pPr>
    </w:p>
    <w:p w14:paraId="4A004C99">
      <w:pPr>
        <w:spacing w:after="0" w:line="576"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主任、各位副主任、各位委员：</w:t>
      </w:r>
    </w:p>
    <w:p w14:paraId="0887642D">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我受区人民政府委托，向区人大常委会报告</w:t>
      </w:r>
      <w:r>
        <w:rPr>
          <w:rFonts w:hint="eastAsia" w:ascii="Times New Roman" w:hAnsi="Times New Roman" w:eastAsia="仿宋_GB2312" w:cs="Times New Roman"/>
          <w:sz w:val="32"/>
          <w:szCs w:val="32"/>
        </w:rPr>
        <w:t>2024年</w:t>
      </w:r>
      <w:r>
        <w:rPr>
          <w:rFonts w:ascii="Times New Roman" w:hAnsi="Times New Roman" w:eastAsia="仿宋_GB2312" w:cs="Times New Roman"/>
          <w:sz w:val="32"/>
          <w:szCs w:val="32"/>
        </w:rPr>
        <w:t>财政决算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草案</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和</w:t>
      </w:r>
      <w:r>
        <w:rPr>
          <w:rFonts w:hint="eastAsia" w:ascii="Times New Roman" w:hAnsi="Times New Roman" w:eastAsia="仿宋_GB2312" w:cs="Times New Roman"/>
          <w:sz w:val="32"/>
          <w:szCs w:val="32"/>
        </w:rPr>
        <w:t>2025年</w:t>
      </w:r>
      <w:r>
        <w:rPr>
          <w:rFonts w:ascii="Times New Roman" w:hAnsi="Times New Roman" w:eastAsia="仿宋_GB2312" w:cs="Times New Roman"/>
          <w:sz w:val="32"/>
          <w:szCs w:val="32"/>
        </w:rPr>
        <w:t>上半年预算执行情况，请予审议。</w:t>
      </w:r>
    </w:p>
    <w:p w14:paraId="4D1AB69D">
      <w:pPr>
        <w:spacing w:after="0" w:line="576" w:lineRule="exact"/>
        <w:ind w:firstLine="700" w:firstLineChars="200"/>
        <w:rPr>
          <w:rFonts w:ascii="Times New Roman" w:hAnsi="Times New Roman" w:eastAsia="黑体" w:cs="Times New Roman"/>
          <w:sz w:val="32"/>
          <w:szCs w:val="32"/>
        </w:rPr>
      </w:pPr>
      <w:r>
        <w:rPr>
          <w:rFonts w:ascii="Times New Roman" w:hAnsi="Times New Roman" w:eastAsia="黑体" w:cs="Times New Roman"/>
          <w:sz w:val="32"/>
          <w:szCs w:val="32"/>
        </w:rPr>
        <w:t>一、</w:t>
      </w:r>
      <w:r>
        <w:rPr>
          <w:rFonts w:hint="eastAsia" w:ascii="Times New Roman" w:hAnsi="Times New Roman" w:eastAsia="黑体" w:cs="Times New Roman"/>
          <w:sz w:val="32"/>
          <w:szCs w:val="32"/>
        </w:rPr>
        <w:t>2024年</w:t>
      </w:r>
      <w:r>
        <w:rPr>
          <w:rFonts w:ascii="Times New Roman" w:hAnsi="Times New Roman" w:eastAsia="黑体" w:cs="Times New Roman"/>
          <w:sz w:val="32"/>
          <w:szCs w:val="32"/>
        </w:rPr>
        <w:t>财政决算情况</w:t>
      </w:r>
    </w:p>
    <w:p w14:paraId="14DC7B95">
      <w:pPr>
        <w:spacing w:after="0" w:line="576" w:lineRule="exact"/>
        <w:ind w:firstLine="756" w:firstLineChars="200"/>
        <w:rPr>
          <w:rFonts w:ascii="Times New Roman" w:hAnsi="Times New Roman" w:eastAsia="仿宋_GB2312" w:cs="Times New Roman"/>
          <w:spacing w:val="14"/>
          <w:sz w:val="32"/>
          <w:szCs w:val="32"/>
        </w:rPr>
      </w:pPr>
      <w:r>
        <w:rPr>
          <w:rFonts w:ascii="Times New Roman" w:hAnsi="Times New Roman" w:eastAsia="仿宋_GB2312" w:cs="Times New Roman"/>
          <w:spacing w:val="14"/>
          <w:sz w:val="32"/>
          <w:szCs w:val="32"/>
        </w:rPr>
        <w:t>2024年是</w:t>
      </w:r>
      <w:r>
        <w:rPr>
          <w:rFonts w:hint="eastAsia" w:ascii="Times New Roman" w:hAnsi="Times New Roman" w:eastAsia="仿宋_GB2312" w:cs="Times New Roman"/>
          <w:spacing w:val="14"/>
          <w:sz w:val="32"/>
          <w:szCs w:val="32"/>
        </w:rPr>
        <w:t>实现“十四五”规划和长春市三年攻坚行动各项任务目标承上启下的关键一年。</w:t>
      </w:r>
      <w:r>
        <w:rPr>
          <w:rFonts w:ascii="Times New Roman" w:hAnsi="Times New Roman" w:eastAsia="仿宋_GB2312" w:cs="Times New Roman"/>
          <w:spacing w:val="14"/>
          <w:sz w:val="32"/>
          <w:szCs w:val="32"/>
        </w:rPr>
        <w:t>一年来，全区财政工作在区委的坚强领导下，在区人大、区政协的监督支持下，坚持以习近平新时代中国特色社会主义思想为指导，</w:t>
      </w:r>
      <w:r>
        <w:rPr>
          <w:rFonts w:hint="eastAsia" w:ascii="Times New Roman" w:hAnsi="Times New Roman" w:eastAsia="仿宋_GB2312" w:cs="Times New Roman"/>
          <w:spacing w:val="14"/>
          <w:sz w:val="32"/>
          <w:szCs w:val="32"/>
        </w:rPr>
        <w:t>深入贯彻落实党的二十大和二十届二中、三中全会精神，</w:t>
      </w:r>
      <w:r>
        <w:rPr>
          <w:rFonts w:ascii="Times New Roman" w:hAnsi="Times New Roman" w:eastAsia="仿宋_GB2312" w:cs="Times New Roman"/>
          <w:spacing w:val="14"/>
          <w:sz w:val="32"/>
          <w:szCs w:val="32"/>
        </w:rPr>
        <w:t>认真分解落实区委十四届</w:t>
      </w:r>
      <w:r>
        <w:rPr>
          <w:rFonts w:hint="eastAsia" w:ascii="Times New Roman" w:hAnsi="Times New Roman" w:eastAsia="仿宋_GB2312" w:cs="Times New Roman"/>
          <w:spacing w:val="14"/>
          <w:sz w:val="32"/>
          <w:szCs w:val="32"/>
        </w:rPr>
        <w:t>六</w:t>
      </w:r>
      <w:r>
        <w:rPr>
          <w:rFonts w:ascii="Times New Roman" w:hAnsi="Times New Roman" w:eastAsia="仿宋_GB2312" w:cs="Times New Roman"/>
          <w:spacing w:val="14"/>
          <w:sz w:val="32"/>
          <w:szCs w:val="32"/>
        </w:rPr>
        <w:t>次全会各项经济工作</w:t>
      </w:r>
      <w:r>
        <w:rPr>
          <w:rFonts w:hint="eastAsia" w:ascii="Times New Roman" w:hAnsi="Times New Roman" w:eastAsia="仿宋_GB2312" w:cs="Times New Roman"/>
          <w:spacing w:val="14"/>
          <w:sz w:val="32"/>
          <w:szCs w:val="32"/>
        </w:rPr>
        <w:t>任务</w:t>
      </w:r>
      <w:r>
        <w:rPr>
          <w:rFonts w:ascii="Times New Roman" w:hAnsi="Times New Roman" w:eastAsia="仿宋_GB2312" w:cs="Times New Roman"/>
          <w:spacing w:val="14"/>
          <w:sz w:val="32"/>
          <w:szCs w:val="32"/>
        </w:rPr>
        <w:t>，</w:t>
      </w:r>
      <w:r>
        <w:rPr>
          <w:rFonts w:hint="eastAsia" w:ascii="Times New Roman" w:hAnsi="Times New Roman" w:eastAsia="仿宋_GB2312" w:cs="Times New Roman"/>
          <w:spacing w:val="14"/>
          <w:sz w:val="32"/>
          <w:szCs w:val="32"/>
        </w:rPr>
        <w:t>坚持稳中求进总基调，筑牢“习惯过紧日子思想”，有保有压、积极而为，为全区经济社会高质量发展提供了有力支撑。在此基础上，财政运行平稳，收支实现平衡，总体情况良好。</w:t>
      </w:r>
      <w:r>
        <w:rPr>
          <w:rFonts w:ascii="Times New Roman" w:hAnsi="Times New Roman" w:eastAsia="仿宋_GB2312" w:cs="Times New Roman"/>
          <w:spacing w:val="14"/>
          <w:sz w:val="32"/>
          <w:szCs w:val="32"/>
        </w:rPr>
        <w:t xml:space="preserve"> </w:t>
      </w:r>
    </w:p>
    <w:p w14:paraId="697DAEBC">
      <w:pPr>
        <w:spacing w:after="0"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（一）一般公共预算</w:t>
      </w:r>
      <w:r>
        <w:rPr>
          <w:rFonts w:hint="eastAsia" w:ascii="Times New Roman" w:hAnsi="Times New Roman" w:eastAsia="楷体" w:cs="Times New Roman"/>
          <w:sz w:val="32"/>
          <w:szCs w:val="32"/>
        </w:rPr>
        <w:t>收支决算</w:t>
      </w:r>
      <w:r>
        <w:rPr>
          <w:rFonts w:ascii="Times New Roman" w:hAnsi="Times New Roman" w:eastAsia="楷体" w:cs="Times New Roman"/>
          <w:sz w:val="32"/>
          <w:szCs w:val="32"/>
        </w:rPr>
        <w:t>情况</w:t>
      </w:r>
    </w:p>
    <w:p w14:paraId="15A55790">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收入方面，</w:t>
      </w:r>
      <w:r>
        <w:rPr>
          <w:rFonts w:hint="eastAsia" w:ascii="Times New Roman" w:hAnsi="Times New Roman" w:eastAsia="仿宋_GB2312" w:cs="Times New Roman"/>
          <w:sz w:val="32"/>
          <w:szCs w:val="32"/>
        </w:rPr>
        <w:t>2024年</w:t>
      </w:r>
      <w:r>
        <w:rPr>
          <w:rFonts w:ascii="Times New Roman" w:hAnsi="Times New Roman" w:eastAsia="仿宋_GB2312" w:cs="Times New Roman"/>
          <w:sz w:val="32"/>
          <w:szCs w:val="32"/>
        </w:rPr>
        <w:t>，全区一般公共预算收入完成</w:t>
      </w:r>
      <w:r>
        <w:rPr>
          <w:rFonts w:hint="eastAsia" w:ascii="Times New Roman" w:hAnsi="Times New Roman" w:eastAsia="仿宋_GB2312" w:cs="Times New Roman"/>
          <w:sz w:val="32"/>
          <w:szCs w:val="32"/>
        </w:rPr>
        <w:t>321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856</w:t>
      </w:r>
      <w:r>
        <w:rPr>
          <w:rFonts w:ascii="Times New Roman" w:hAnsi="Times New Roman" w:eastAsia="仿宋_GB2312" w:cs="Times New Roman"/>
          <w:sz w:val="32"/>
          <w:szCs w:val="32"/>
        </w:rPr>
        <w:t>万元，其中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本级收入完成</w:t>
      </w:r>
      <w:r>
        <w:rPr>
          <w:rFonts w:hint="eastAsia" w:ascii="Times New Roman" w:hAnsi="Times New Roman" w:eastAsia="仿宋_GB2312" w:cs="Times New Roman"/>
          <w:sz w:val="32"/>
          <w:szCs w:val="32"/>
        </w:rPr>
        <w:t>104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392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可</w:t>
      </w:r>
      <w:r>
        <w:rPr>
          <w:rFonts w:ascii="Times New Roman" w:hAnsi="Times New Roman" w:eastAsia="仿宋_GB2312" w:cs="Times New Roman"/>
          <w:sz w:val="32"/>
          <w:szCs w:val="32"/>
        </w:rPr>
        <w:t>比</w:t>
      </w:r>
      <w:r>
        <w:rPr>
          <w:rFonts w:hint="eastAsia" w:ascii="Times New Roman" w:hAnsi="Times New Roman" w:eastAsia="仿宋_GB2312" w:cs="Times New Roman"/>
          <w:sz w:val="32"/>
          <w:szCs w:val="32"/>
        </w:rPr>
        <w:t>口径增长11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rPr>
        <w:t>121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270</w:t>
      </w:r>
      <w:r>
        <w:rPr>
          <w:rFonts w:ascii="Times New Roman" w:hAnsi="Times New Roman" w:eastAsia="仿宋_GB2312" w:cs="Times New Roman"/>
          <w:sz w:val="32"/>
          <w:szCs w:val="32"/>
        </w:rPr>
        <w:t>万元，债务转贷收入</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696</w:t>
      </w:r>
      <w:r>
        <w:rPr>
          <w:rFonts w:ascii="Times New Roman" w:hAnsi="Times New Roman" w:eastAsia="仿宋_GB2312" w:cs="Times New Roman"/>
          <w:sz w:val="32"/>
          <w:szCs w:val="32"/>
        </w:rPr>
        <w:t>万元，上年结转收入</w:t>
      </w:r>
      <w:r>
        <w:rPr>
          <w:rFonts w:hint="eastAsia" w:ascii="Times New Roman" w:hAnsi="Times New Roman" w:eastAsia="仿宋_GB2312" w:cs="Times New Roman"/>
          <w:sz w:val="32"/>
          <w:szCs w:val="32"/>
        </w:rPr>
        <w:t>25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000</w:t>
      </w:r>
      <w:r>
        <w:rPr>
          <w:rFonts w:ascii="Times New Roman" w:hAnsi="Times New Roman" w:eastAsia="仿宋_GB2312" w:cs="Times New Roman"/>
          <w:sz w:val="32"/>
          <w:szCs w:val="32"/>
        </w:rPr>
        <w:t>万元，调入预算稳定调节基金</w:t>
      </w:r>
      <w:r>
        <w:rPr>
          <w:rFonts w:hint="eastAsia" w:ascii="Times New Roman" w:hAnsi="Times New Roman" w:eastAsia="仿宋_GB2312" w:cs="Times New Roman"/>
          <w:sz w:val="32"/>
          <w:szCs w:val="32"/>
        </w:rPr>
        <w:t>19</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738</w:t>
      </w:r>
      <w:r>
        <w:rPr>
          <w:rFonts w:ascii="Times New Roman" w:hAnsi="Times New Roman" w:eastAsia="仿宋_GB2312" w:cs="Times New Roman"/>
          <w:sz w:val="32"/>
          <w:szCs w:val="32"/>
        </w:rPr>
        <w:t>万元，调入资金</w:t>
      </w:r>
      <w:r>
        <w:rPr>
          <w:rFonts w:hint="eastAsia" w:ascii="Times New Roman" w:hAnsi="Times New Roman" w:eastAsia="仿宋_GB2312" w:cs="Times New Roman"/>
          <w:sz w:val="32"/>
          <w:szCs w:val="32"/>
        </w:rPr>
        <w:t>44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760</w:t>
      </w:r>
      <w:r>
        <w:rPr>
          <w:rFonts w:ascii="Times New Roman" w:hAnsi="Times New Roman" w:eastAsia="仿宋_GB2312" w:cs="Times New Roman"/>
          <w:sz w:val="32"/>
          <w:szCs w:val="32"/>
        </w:rPr>
        <w:t xml:space="preserve">万元。 </w:t>
      </w:r>
    </w:p>
    <w:p w14:paraId="031CED0F">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支出方面，</w:t>
      </w:r>
      <w:r>
        <w:rPr>
          <w:rFonts w:hint="eastAsia" w:ascii="Times New Roman" w:hAnsi="Times New Roman" w:eastAsia="仿宋_GB2312" w:cs="Times New Roman"/>
          <w:sz w:val="32"/>
          <w:szCs w:val="32"/>
        </w:rPr>
        <w:t>2024年</w:t>
      </w:r>
      <w:r>
        <w:rPr>
          <w:rFonts w:ascii="Times New Roman" w:hAnsi="Times New Roman" w:eastAsia="仿宋_GB2312" w:cs="Times New Roman"/>
          <w:sz w:val="32"/>
          <w:szCs w:val="32"/>
        </w:rPr>
        <w:t>，全区一般公共预算支出完成</w:t>
      </w:r>
      <w:r>
        <w:rPr>
          <w:rFonts w:hint="eastAsia" w:ascii="Times New Roman" w:hAnsi="Times New Roman" w:eastAsia="仿宋_GB2312" w:cs="Times New Roman"/>
          <w:sz w:val="32"/>
          <w:szCs w:val="32"/>
        </w:rPr>
        <w:t>321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856</w:t>
      </w:r>
      <w:r>
        <w:rPr>
          <w:rFonts w:ascii="Times New Roman" w:hAnsi="Times New Roman" w:eastAsia="仿宋_GB2312" w:cs="Times New Roman"/>
          <w:sz w:val="32"/>
          <w:szCs w:val="32"/>
        </w:rPr>
        <w:t>万元，其中：当年支出</w:t>
      </w:r>
      <w:r>
        <w:rPr>
          <w:rFonts w:hint="eastAsia" w:ascii="Times New Roman" w:hAnsi="Times New Roman" w:eastAsia="仿宋_GB2312" w:cs="Times New Roman"/>
          <w:sz w:val="32"/>
          <w:szCs w:val="32"/>
        </w:rPr>
        <w:t>281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768</w:t>
      </w:r>
      <w:r>
        <w:rPr>
          <w:rFonts w:ascii="Times New Roman" w:hAnsi="Times New Roman" w:eastAsia="仿宋_GB2312" w:cs="Times New Roman"/>
          <w:sz w:val="32"/>
          <w:szCs w:val="32"/>
        </w:rPr>
        <w:t>万元，比上年</w:t>
      </w:r>
      <w:r>
        <w:rPr>
          <w:rFonts w:hint="eastAsia" w:ascii="Times New Roman" w:hAnsi="Times New Roman" w:eastAsia="仿宋_GB2312" w:cs="Times New Roman"/>
          <w:sz w:val="32"/>
          <w:szCs w:val="32"/>
        </w:rPr>
        <w:t>下降3.1%</w:t>
      </w:r>
      <w:r>
        <w:rPr>
          <w:rFonts w:ascii="Times New Roman" w:hAnsi="Times New Roman" w:eastAsia="仿宋_GB2312" w:cs="Times New Roman"/>
          <w:sz w:val="32"/>
          <w:szCs w:val="32"/>
        </w:rPr>
        <w:t>。上解支出1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984</w:t>
      </w:r>
      <w:r>
        <w:rPr>
          <w:rFonts w:ascii="Times New Roman" w:hAnsi="Times New Roman" w:eastAsia="仿宋_GB2312" w:cs="Times New Roman"/>
          <w:sz w:val="32"/>
          <w:szCs w:val="32"/>
        </w:rPr>
        <w:t>万元，安排预算稳定调节基金</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056</w:t>
      </w:r>
      <w:r>
        <w:rPr>
          <w:rFonts w:ascii="Times New Roman" w:hAnsi="Times New Roman" w:eastAsia="仿宋_GB2312" w:cs="Times New Roman"/>
          <w:sz w:val="32"/>
          <w:szCs w:val="32"/>
        </w:rPr>
        <w:t>万元，结转下年支出</w:t>
      </w:r>
      <w:r>
        <w:rPr>
          <w:rFonts w:hint="eastAsia" w:ascii="Times New Roman" w:hAnsi="Times New Roman" w:eastAsia="仿宋_GB2312" w:cs="Times New Roman"/>
          <w:sz w:val="32"/>
          <w:szCs w:val="32"/>
        </w:rPr>
        <w:t>18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048</w:t>
      </w:r>
      <w:r>
        <w:rPr>
          <w:rFonts w:ascii="Times New Roman" w:hAnsi="Times New Roman" w:eastAsia="仿宋_GB2312" w:cs="Times New Roman"/>
          <w:sz w:val="32"/>
          <w:szCs w:val="32"/>
        </w:rPr>
        <w:t xml:space="preserve">万元。 </w:t>
      </w:r>
    </w:p>
    <w:p w14:paraId="07BEFF57">
      <w:pPr>
        <w:spacing w:after="0" w:line="576" w:lineRule="exact"/>
        <w:ind w:firstLine="700"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平衡方面，</w:t>
      </w:r>
      <w:r>
        <w:rPr>
          <w:rFonts w:hint="eastAsia" w:ascii="Times New Roman" w:hAnsi="Times New Roman" w:eastAsia="仿宋_GB2312" w:cs="Times New Roman"/>
          <w:sz w:val="32"/>
          <w:szCs w:val="32"/>
        </w:rPr>
        <w:t>2024年</w:t>
      </w:r>
      <w:r>
        <w:rPr>
          <w:rFonts w:ascii="Times New Roman" w:hAnsi="Times New Roman" w:eastAsia="仿宋_GB2312" w:cs="Times New Roman"/>
          <w:sz w:val="32"/>
          <w:szCs w:val="32"/>
        </w:rPr>
        <w:t>，全区一般公共预算总收入与总支出相抵后，收支平衡。</w:t>
      </w:r>
    </w:p>
    <w:p w14:paraId="45566A80">
      <w:pPr>
        <w:spacing w:after="0"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（二）政府性基金</w:t>
      </w:r>
      <w:r>
        <w:rPr>
          <w:rFonts w:hint="eastAsia" w:ascii="Times New Roman" w:hAnsi="Times New Roman" w:eastAsia="楷体" w:cs="Times New Roman"/>
          <w:sz w:val="32"/>
          <w:szCs w:val="32"/>
        </w:rPr>
        <w:t>收支决算</w:t>
      </w:r>
      <w:r>
        <w:rPr>
          <w:rFonts w:ascii="Times New Roman" w:hAnsi="Times New Roman" w:eastAsia="楷体" w:cs="Times New Roman"/>
          <w:sz w:val="32"/>
          <w:szCs w:val="32"/>
        </w:rPr>
        <w:t>情况</w:t>
      </w:r>
    </w:p>
    <w:p w14:paraId="1F407C52">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收入方面，</w:t>
      </w:r>
      <w:r>
        <w:rPr>
          <w:rFonts w:hint="eastAsia" w:ascii="Times New Roman" w:hAnsi="Times New Roman" w:eastAsia="仿宋_GB2312" w:cs="Times New Roman"/>
          <w:sz w:val="32"/>
          <w:szCs w:val="32"/>
        </w:rPr>
        <w:t>2024年</w:t>
      </w:r>
      <w:r>
        <w:rPr>
          <w:rFonts w:ascii="Times New Roman" w:hAnsi="Times New Roman" w:eastAsia="仿宋_GB2312" w:cs="Times New Roman"/>
          <w:sz w:val="32"/>
          <w:szCs w:val="32"/>
        </w:rPr>
        <w:t>，全区政府性基金总收入完成</w:t>
      </w:r>
      <w:r>
        <w:rPr>
          <w:rFonts w:hint="eastAsia" w:ascii="Times New Roman" w:hAnsi="Times New Roman" w:eastAsia="仿宋_GB2312" w:cs="Times New Roman"/>
          <w:sz w:val="32"/>
          <w:szCs w:val="32"/>
        </w:rPr>
        <w:t>11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702</w:t>
      </w:r>
      <w:r>
        <w:rPr>
          <w:rFonts w:ascii="Times New Roman" w:hAnsi="Times New Roman" w:eastAsia="仿宋_GB2312" w:cs="Times New Roman"/>
          <w:sz w:val="32"/>
          <w:szCs w:val="32"/>
        </w:rPr>
        <w:t>万元，其中，当年基金收入1</w:t>
      </w:r>
      <w:r>
        <w:rPr>
          <w:rFonts w:hint="eastAsia" w:ascii="Times New Roman" w:hAnsi="Times New Roman" w:eastAsia="仿宋_GB2312" w:cs="Times New Roman"/>
          <w:sz w:val="32"/>
          <w:szCs w:val="32"/>
        </w:rPr>
        <w:t>25</w:t>
      </w:r>
      <w:r>
        <w:rPr>
          <w:rFonts w:ascii="Times New Roman" w:hAnsi="Times New Roman" w:eastAsia="仿宋_GB2312" w:cs="Times New Roman"/>
          <w:sz w:val="32"/>
          <w:szCs w:val="32"/>
        </w:rPr>
        <w:t>万元，比上年</w:t>
      </w:r>
      <w:r>
        <w:rPr>
          <w:rFonts w:hint="eastAsia" w:ascii="Times New Roman" w:hAnsi="Times New Roman" w:eastAsia="仿宋_GB2312" w:cs="Times New Roman"/>
          <w:sz w:val="32"/>
          <w:szCs w:val="32"/>
        </w:rPr>
        <w:t>下降93.2%</w:t>
      </w:r>
      <w:r>
        <w:rPr>
          <w:rFonts w:ascii="Times New Roman" w:hAnsi="Times New Roman" w:eastAsia="仿宋_GB2312" w:cs="Times New Roman"/>
          <w:sz w:val="32"/>
          <w:szCs w:val="32"/>
        </w:rPr>
        <w:t>，主要为专项债券对应项目专项收入；转移性收入</w:t>
      </w:r>
      <w:r>
        <w:rPr>
          <w:rFonts w:hint="eastAsia" w:ascii="Times New Roman" w:hAnsi="Times New Roman" w:eastAsia="仿宋_GB2312" w:cs="Times New Roman"/>
          <w:sz w:val="32"/>
          <w:szCs w:val="32"/>
        </w:rPr>
        <w:t>6,968</w:t>
      </w:r>
      <w:r>
        <w:rPr>
          <w:rFonts w:ascii="Times New Roman" w:hAnsi="Times New Roman" w:eastAsia="仿宋_GB2312" w:cs="Times New Roman"/>
          <w:sz w:val="32"/>
          <w:szCs w:val="32"/>
        </w:rPr>
        <w:t>万元；上年结转收入</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06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调入资金2,203万元。</w:t>
      </w:r>
    </w:p>
    <w:p w14:paraId="07EE1974">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支出方面，</w:t>
      </w:r>
      <w:r>
        <w:rPr>
          <w:rFonts w:hint="eastAsia" w:ascii="Times New Roman" w:hAnsi="Times New Roman" w:eastAsia="仿宋_GB2312" w:cs="Times New Roman"/>
          <w:sz w:val="32"/>
          <w:szCs w:val="32"/>
        </w:rPr>
        <w:t>2024年</w:t>
      </w:r>
      <w:r>
        <w:rPr>
          <w:rFonts w:ascii="Times New Roman" w:hAnsi="Times New Roman" w:eastAsia="仿宋_GB2312" w:cs="Times New Roman"/>
          <w:sz w:val="32"/>
          <w:szCs w:val="32"/>
        </w:rPr>
        <w:t>，全区政府性基金总支出完成</w:t>
      </w:r>
      <w:r>
        <w:rPr>
          <w:rFonts w:hint="eastAsia" w:ascii="Times New Roman" w:hAnsi="Times New Roman" w:eastAsia="仿宋_GB2312" w:cs="Times New Roman"/>
          <w:sz w:val="32"/>
          <w:szCs w:val="32"/>
        </w:rPr>
        <w:t>11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702</w:t>
      </w:r>
      <w:r>
        <w:rPr>
          <w:rFonts w:ascii="Times New Roman" w:hAnsi="Times New Roman" w:eastAsia="仿宋_GB2312" w:cs="Times New Roman"/>
          <w:sz w:val="32"/>
          <w:szCs w:val="32"/>
        </w:rPr>
        <w:t>万元，其中，当年基金支出</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938</w:t>
      </w:r>
      <w:r>
        <w:rPr>
          <w:rFonts w:ascii="Times New Roman" w:hAnsi="Times New Roman" w:eastAsia="仿宋_GB2312" w:cs="Times New Roman"/>
          <w:sz w:val="32"/>
          <w:szCs w:val="32"/>
        </w:rPr>
        <w:t>万元，比上年</w:t>
      </w:r>
      <w:r>
        <w:rPr>
          <w:rFonts w:hint="eastAsia" w:ascii="Times New Roman" w:hAnsi="Times New Roman" w:eastAsia="仿宋_GB2312" w:cs="Times New Roman"/>
          <w:sz w:val="32"/>
          <w:szCs w:val="32"/>
        </w:rPr>
        <w:t>下降80.9</w:t>
      </w:r>
      <w:r>
        <w:rPr>
          <w:rFonts w:ascii="Times New Roman" w:hAnsi="Times New Roman" w:eastAsia="仿宋_GB2312" w:cs="Times New Roman"/>
          <w:sz w:val="32"/>
          <w:szCs w:val="32"/>
        </w:rPr>
        <w:t>%；结转下年支出</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764</w:t>
      </w:r>
      <w:r>
        <w:rPr>
          <w:rFonts w:ascii="Times New Roman" w:hAnsi="Times New Roman" w:eastAsia="仿宋_GB2312" w:cs="Times New Roman"/>
          <w:sz w:val="32"/>
          <w:szCs w:val="32"/>
        </w:rPr>
        <w:t>万元。</w:t>
      </w:r>
    </w:p>
    <w:p w14:paraId="54532B71">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平衡</w:t>
      </w:r>
      <w:r>
        <w:rPr>
          <w:rFonts w:hint="eastAsia" w:ascii="Times New Roman" w:hAnsi="Times New Roman" w:eastAsia="仿宋_GB2312" w:cs="Times New Roman"/>
          <w:b/>
          <w:sz w:val="32"/>
          <w:szCs w:val="32"/>
        </w:rPr>
        <w:t>方面</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2024年</w:t>
      </w:r>
      <w:r>
        <w:rPr>
          <w:rFonts w:ascii="Times New Roman" w:hAnsi="Times New Roman" w:eastAsia="仿宋_GB2312" w:cs="Times New Roman"/>
          <w:sz w:val="32"/>
          <w:szCs w:val="32"/>
        </w:rPr>
        <w:t>，全区政府性基金总收入与总支出相抵后，收支平衡。</w:t>
      </w:r>
    </w:p>
    <w:p w14:paraId="15B65FA7">
      <w:pPr>
        <w:spacing w:after="0"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（三）地方政府债务情况</w:t>
      </w:r>
    </w:p>
    <w:p w14:paraId="108035BB">
      <w:pPr>
        <w:spacing w:after="0"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2024年</w:t>
      </w:r>
      <w:r>
        <w:rPr>
          <w:rFonts w:ascii="Times New Roman" w:hAnsi="Times New Roman" w:eastAsia="仿宋_GB2312" w:cs="Times New Roman"/>
          <w:sz w:val="32"/>
          <w:szCs w:val="32"/>
        </w:rPr>
        <w:t>末</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我区债务余额</w:t>
      </w:r>
      <w:r>
        <w:rPr>
          <w:rFonts w:hint="eastAsia" w:ascii="Times New Roman" w:hAnsi="Times New Roman" w:eastAsia="仿宋_GB2312" w:cs="Times New Roman"/>
          <w:sz w:val="32"/>
          <w:szCs w:val="32"/>
        </w:rPr>
        <w:t>223,296.31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其中：一般债务余额</w:t>
      </w:r>
      <w:r>
        <w:rPr>
          <w:rFonts w:hint="eastAsia" w:ascii="Times New Roman" w:hAnsi="Times New Roman" w:eastAsia="仿宋_GB2312" w:cs="Times New Roman"/>
          <w:sz w:val="32"/>
          <w:szCs w:val="32"/>
        </w:rPr>
        <w:t>155,296.31</w:t>
      </w:r>
      <w:r>
        <w:rPr>
          <w:rFonts w:ascii="Times New Roman" w:hAnsi="Times New Roman" w:eastAsia="仿宋_GB2312" w:cs="Times New Roman"/>
          <w:sz w:val="32"/>
          <w:szCs w:val="32"/>
        </w:rPr>
        <w:t>万元，专项债务余额</w:t>
      </w:r>
      <w:r>
        <w:rPr>
          <w:rFonts w:hint="eastAsia" w:ascii="Times New Roman" w:hAnsi="Times New Roman" w:eastAsia="仿宋_GB2312" w:cs="Times New Roman"/>
          <w:sz w:val="32"/>
          <w:szCs w:val="32"/>
        </w:rPr>
        <w:t>68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00万元。我区债务余额在上级部门核定的债务限额内，法定债务率在警戒线内，债务风险较低。</w:t>
      </w:r>
    </w:p>
    <w:p w14:paraId="2199F2EB">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1.政府债务结构。</w:t>
      </w:r>
      <w:r>
        <w:rPr>
          <w:rFonts w:ascii="Times New Roman" w:hAnsi="Times New Roman" w:eastAsia="仿宋_GB2312" w:cs="Times New Roman"/>
          <w:sz w:val="32"/>
          <w:szCs w:val="32"/>
        </w:rPr>
        <w:t>截</w:t>
      </w:r>
      <w:r>
        <w:rPr>
          <w:rFonts w:hint="eastAsia" w:ascii="Times New Roman" w:hAnsi="Times New Roman" w:eastAsia="仿宋_GB2312" w:cs="Times New Roman"/>
          <w:sz w:val="32"/>
          <w:szCs w:val="32"/>
        </w:rPr>
        <w:t>至2024年</w:t>
      </w:r>
      <w:r>
        <w:rPr>
          <w:rFonts w:ascii="Times New Roman" w:hAnsi="Times New Roman" w:eastAsia="仿宋_GB2312" w:cs="Times New Roman"/>
          <w:sz w:val="32"/>
          <w:szCs w:val="32"/>
        </w:rPr>
        <w:t>末，区本级政府债务余额</w:t>
      </w:r>
      <w:r>
        <w:rPr>
          <w:rFonts w:hint="eastAsia" w:ascii="Times New Roman" w:hAnsi="Times New Roman" w:eastAsia="仿宋_GB2312" w:cs="Times New Roman"/>
          <w:sz w:val="32"/>
          <w:szCs w:val="32"/>
        </w:rPr>
        <w:t>123,200</w:t>
      </w:r>
      <w:r>
        <w:rPr>
          <w:rFonts w:ascii="Times New Roman" w:hAnsi="Times New Roman" w:eastAsia="仿宋_GB2312" w:cs="Times New Roman"/>
          <w:sz w:val="32"/>
          <w:szCs w:val="32"/>
        </w:rPr>
        <w:t>万元，占全部债务余额的</w:t>
      </w:r>
      <w:r>
        <w:rPr>
          <w:rFonts w:hint="eastAsia" w:ascii="Times New Roman" w:hAnsi="Times New Roman" w:eastAsia="仿宋_GB2312" w:cs="Times New Roman"/>
          <w:sz w:val="32"/>
          <w:szCs w:val="32"/>
        </w:rPr>
        <w:t>55.17</w:t>
      </w:r>
      <w:r>
        <w:rPr>
          <w:rFonts w:ascii="Times New Roman" w:hAnsi="Times New Roman" w:eastAsia="仿宋_GB2312" w:cs="Times New Roman"/>
          <w:sz w:val="32"/>
          <w:szCs w:val="32"/>
        </w:rPr>
        <w:t>%；市里统筹使用我区债务限额空间，举借的债务余额100,</w:t>
      </w:r>
      <w:r>
        <w:rPr>
          <w:rFonts w:hint="eastAsia" w:ascii="Times New Roman" w:hAnsi="Times New Roman" w:eastAsia="仿宋_GB2312" w:cs="Times New Roman"/>
          <w:sz w:val="32"/>
          <w:szCs w:val="32"/>
        </w:rPr>
        <w:t>096.31</w:t>
      </w:r>
      <w:r>
        <w:rPr>
          <w:rFonts w:ascii="Times New Roman" w:hAnsi="Times New Roman" w:eastAsia="仿宋_GB2312" w:cs="Times New Roman"/>
          <w:sz w:val="32"/>
          <w:szCs w:val="32"/>
        </w:rPr>
        <w:t>万元，占全部债务余额的</w:t>
      </w:r>
      <w:r>
        <w:rPr>
          <w:rFonts w:hint="eastAsia" w:ascii="Times New Roman" w:hAnsi="Times New Roman" w:eastAsia="仿宋_GB2312" w:cs="Times New Roman"/>
          <w:sz w:val="32"/>
          <w:szCs w:val="32"/>
        </w:rPr>
        <w:t>44.83</w:t>
      </w:r>
      <w:r>
        <w:rPr>
          <w:rFonts w:ascii="Times New Roman" w:hAnsi="Times New Roman" w:eastAsia="仿宋_GB2312" w:cs="Times New Roman"/>
          <w:sz w:val="32"/>
          <w:szCs w:val="32"/>
        </w:rPr>
        <w:t>%。</w:t>
      </w:r>
    </w:p>
    <w:p w14:paraId="2A08ECC0">
      <w:pPr>
        <w:spacing w:after="0" w:line="576" w:lineRule="exact"/>
        <w:ind w:firstLine="700" w:firstLineChars="200"/>
        <w:rPr>
          <w:rFonts w:ascii="Times New Roman" w:hAnsi="Times New Roman" w:eastAsia="仿宋_GB2312" w:cs="Times New Roman"/>
          <w:sz w:val="29"/>
          <w:szCs w:val="29"/>
        </w:rPr>
      </w:pPr>
      <w:r>
        <w:rPr>
          <w:rFonts w:ascii="Times New Roman" w:hAnsi="Times New Roman" w:eastAsia="仿宋_GB2312" w:cs="Times New Roman"/>
          <w:b/>
          <w:sz w:val="32"/>
          <w:szCs w:val="32"/>
        </w:rPr>
        <w:t>2.政府债务使用方向。</w:t>
      </w:r>
      <w:r>
        <w:rPr>
          <w:rFonts w:ascii="Times New Roman" w:hAnsi="Times New Roman" w:eastAsia="仿宋_GB2312" w:cs="Times New Roman"/>
          <w:sz w:val="32"/>
          <w:szCs w:val="32"/>
        </w:rPr>
        <w:t>卫生健康体系建设</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065.31</w:t>
      </w:r>
      <w:r>
        <w:rPr>
          <w:rFonts w:ascii="Times New Roman" w:hAnsi="Times New Roman" w:eastAsia="仿宋_GB2312" w:cs="Times New Roman"/>
          <w:sz w:val="32"/>
          <w:szCs w:val="32"/>
        </w:rPr>
        <w:t>万元、城市垃圾处理</w:t>
      </w:r>
      <w:r>
        <w:rPr>
          <w:rFonts w:hint="eastAsia" w:ascii="Times New Roman" w:hAnsi="Times New Roman" w:eastAsia="仿宋_GB2312" w:cs="Times New Roman"/>
          <w:sz w:val="32"/>
          <w:szCs w:val="32"/>
        </w:rPr>
        <w:t>36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850</w:t>
      </w:r>
      <w:r>
        <w:rPr>
          <w:rFonts w:ascii="Times New Roman" w:hAnsi="Times New Roman" w:eastAsia="仿宋_GB2312" w:cs="Times New Roman"/>
          <w:sz w:val="32"/>
          <w:szCs w:val="32"/>
        </w:rPr>
        <w:t>万元、老旧小区改造</w:t>
      </w:r>
      <w:r>
        <w:rPr>
          <w:rFonts w:hint="eastAsia" w:ascii="Times New Roman" w:hAnsi="Times New Roman" w:eastAsia="仿宋_GB2312" w:cs="Times New Roman"/>
          <w:sz w:val="32"/>
          <w:szCs w:val="32"/>
        </w:rPr>
        <w:t>32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835</w:t>
      </w:r>
      <w:r>
        <w:rPr>
          <w:rFonts w:ascii="Times New Roman" w:hAnsi="Times New Roman" w:eastAsia="仿宋_GB2312" w:cs="Times New Roman"/>
          <w:sz w:val="32"/>
          <w:szCs w:val="32"/>
        </w:rPr>
        <w:t>万元、教育学校建设</w:t>
      </w:r>
      <w:r>
        <w:rPr>
          <w:rFonts w:hint="eastAsia" w:ascii="Times New Roman" w:hAnsi="Times New Roman" w:eastAsia="仿宋_GB2312" w:cs="Times New Roman"/>
          <w:sz w:val="32"/>
          <w:szCs w:val="32"/>
        </w:rPr>
        <w:t>28,749.69</w:t>
      </w:r>
      <w:r>
        <w:rPr>
          <w:rFonts w:ascii="Times New Roman" w:hAnsi="Times New Roman" w:eastAsia="仿宋_GB2312" w:cs="Times New Roman"/>
          <w:sz w:val="32"/>
          <w:szCs w:val="32"/>
        </w:rPr>
        <w:t>万元、应急（消防）中心建设</w:t>
      </w:r>
      <w:r>
        <w:rPr>
          <w:rFonts w:hint="eastAsia" w:ascii="Times New Roman" w:hAnsi="Times New Roman" w:eastAsia="仿宋_GB2312" w:cs="Times New Roman"/>
          <w:sz w:val="32"/>
          <w:szCs w:val="32"/>
        </w:rPr>
        <w:t>3,3</w:t>
      </w:r>
      <w:r>
        <w:rPr>
          <w:rFonts w:ascii="Times New Roman" w:hAnsi="Times New Roman" w:eastAsia="仿宋_GB2312" w:cs="Times New Roman"/>
          <w:sz w:val="32"/>
          <w:szCs w:val="32"/>
        </w:rPr>
        <w:t>00万元</w:t>
      </w:r>
      <w:r>
        <w:rPr>
          <w:rFonts w:hint="eastAsia" w:ascii="Times New Roman" w:hAnsi="Times New Roman" w:eastAsia="仿宋_GB2312" w:cs="Times New Roman"/>
          <w:sz w:val="32"/>
          <w:szCs w:val="32"/>
        </w:rPr>
        <w:t>、偿还企业账款400万元</w:t>
      </w:r>
      <w:r>
        <w:rPr>
          <w:rFonts w:ascii="Times New Roman" w:hAnsi="Times New Roman" w:eastAsia="仿宋_GB2312" w:cs="Times New Roman"/>
          <w:sz w:val="32"/>
          <w:szCs w:val="32"/>
        </w:rPr>
        <w:t>。</w:t>
      </w:r>
    </w:p>
    <w:p w14:paraId="336F5140">
      <w:pPr>
        <w:spacing w:after="0"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w:t>
      </w:r>
      <w:r>
        <w:rPr>
          <w:rFonts w:hint="eastAsia" w:ascii="Times New Roman" w:hAnsi="Times New Roman" w:eastAsia="楷体" w:cs="Times New Roman"/>
          <w:sz w:val="32"/>
          <w:szCs w:val="32"/>
        </w:rPr>
        <w:t>四</w:t>
      </w:r>
      <w:r>
        <w:rPr>
          <w:rFonts w:ascii="Times New Roman" w:hAnsi="Times New Roman" w:eastAsia="楷体" w:cs="Times New Roman"/>
          <w:sz w:val="32"/>
          <w:szCs w:val="32"/>
        </w:rPr>
        <w:t>）区级</w:t>
      </w:r>
      <w:r>
        <w:rPr>
          <w:rFonts w:hint="eastAsia" w:ascii="Times New Roman" w:hAnsi="Times New Roman" w:eastAsia="楷体" w:cs="Times New Roman"/>
          <w:sz w:val="32"/>
          <w:szCs w:val="32"/>
        </w:rPr>
        <w:t>预算绩效工作推进情况</w:t>
      </w:r>
    </w:p>
    <w:p w14:paraId="533892B5">
      <w:pPr>
        <w:spacing w:after="0" w:line="576" w:lineRule="exact"/>
        <w:ind w:firstLine="756" w:firstLineChars="200"/>
        <w:rPr>
          <w:rFonts w:ascii="Times New Roman" w:hAnsi="Times New Roman" w:eastAsia="仿宋_GB2312" w:cs="Times New Roman"/>
          <w:spacing w:val="14"/>
          <w:sz w:val="32"/>
          <w:szCs w:val="32"/>
        </w:rPr>
      </w:pPr>
      <w:r>
        <w:rPr>
          <w:rFonts w:hint="eastAsia" w:ascii="Times New Roman" w:hAnsi="Times New Roman" w:eastAsia="仿宋_GB2312" w:cs="Times New Roman"/>
          <w:spacing w:val="14"/>
          <w:sz w:val="32"/>
          <w:szCs w:val="32"/>
        </w:rPr>
        <w:t>2024年，在实现预算绩效管理全覆盖基础上，全区所有一级、二级预算单位绩效自评工作全部实现线上运行，极大提高了工作效率。重点对新兴学校和光明公园项目进行了财政绩效评价，提升了资金效益、强化了责任约束、优化了资源配置，财政透明度和公信力进一步增强，财政管理水平进一步提高。</w:t>
      </w:r>
    </w:p>
    <w:p w14:paraId="3C6114AD">
      <w:pPr>
        <w:spacing w:after="0"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w:t>
      </w:r>
      <w:r>
        <w:rPr>
          <w:rFonts w:hint="eastAsia" w:ascii="Times New Roman" w:hAnsi="Times New Roman" w:eastAsia="楷体" w:cs="Times New Roman"/>
          <w:sz w:val="32"/>
          <w:szCs w:val="32"/>
        </w:rPr>
        <w:t>五</w:t>
      </w:r>
      <w:r>
        <w:rPr>
          <w:rFonts w:ascii="Times New Roman" w:hAnsi="Times New Roman" w:eastAsia="楷体" w:cs="Times New Roman"/>
          <w:sz w:val="32"/>
          <w:szCs w:val="32"/>
        </w:rPr>
        <w:t>）审计决定落实情况</w:t>
      </w:r>
    </w:p>
    <w:p w14:paraId="73631267">
      <w:pPr>
        <w:spacing w:after="0" w:line="576" w:lineRule="exact"/>
        <w:ind w:firstLine="756" w:firstLineChars="200"/>
        <w:rPr>
          <w:rFonts w:ascii="Times New Roman" w:hAnsi="Times New Roman" w:eastAsia="仿宋_GB2312" w:cs="Times New Roman"/>
          <w:spacing w:val="14"/>
          <w:sz w:val="32"/>
          <w:szCs w:val="32"/>
        </w:rPr>
      </w:pPr>
      <w:r>
        <w:rPr>
          <w:rFonts w:hint="eastAsia" w:ascii="Times New Roman" w:hAnsi="Times New Roman" w:eastAsia="仿宋_GB2312" w:cs="Times New Roman"/>
          <w:spacing w:val="14"/>
          <w:sz w:val="32"/>
          <w:szCs w:val="32"/>
        </w:rPr>
        <w:t>2025年3月，区审计局根据《中华人民共和国审计法》，对2024年区本级预算执行和其他财政收支情况进行了审计。对审计提出的问题，区政府高度重视，召开专题工作会议，分析问题原因，制定整改方案，采取有效措施，确保整改到位。</w:t>
      </w:r>
    </w:p>
    <w:p w14:paraId="55207BE0">
      <w:pPr>
        <w:spacing w:after="0" w:line="576" w:lineRule="exact"/>
        <w:ind w:firstLine="700" w:firstLineChars="20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rPr>
        <w:t>2025年</w:t>
      </w:r>
      <w:r>
        <w:rPr>
          <w:rFonts w:ascii="Times New Roman" w:hAnsi="Times New Roman" w:eastAsia="黑体" w:cs="Times New Roman"/>
          <w:sz w:val="32"/>
          <w:szCs w:val="32"/>
        </w:rPr>
        <w:t>上半年预算执行情况</w:t>
      </w:r>
    </w:p>
    <w:p w14:paraId="5A3D15CB">
      <w:pPr>
        <w:spacing w:after="0"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（一）一般公共预算情况</w:t>
      </w:r>
    </w:p>
    <w:p w14:paraId="7479E948">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收入方面，</w:t>
      </w:r>
      <w:r>
        <w:rPr>
          <w:rFonts w:ascii="Times New Roman" w:hAnsi="Times New Roman" w:eastAsia="仿宋_GB2312" w:cs="Times New Roman"/>
          <w:sz w:val="32"/>
          <w:szCs w:val="32"/>
        </w:rPr>
        <w:t>上半年，全区一般公共预算本级财政收入实现</w:t>
      </w:r>
      <w:r>
        <w:rPr>
          <w:rFonts w:hint="eastAsia" w:ascii="Times New Roman" w:hAnsi="Times New Roman" w:eastAsia="仿宋_GB2312" w:cs="Times New Roman"/>
          <w:sz w:val="32"/>
          <w:szCs w:val="32"/>
        </w:rPr>
        <w:t>51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204</w:t>
      </w:r>
      <w:r>
        <w:rPr>
          <w:rFonts w:ascii="Times New Roman" w:hAnsi="Times New Roman" w:eastAsia="仿宋_GB2312" w:cs="Times New Roman"/>
          <w:sz w:val="32"/>
          <w:szCs w:val="32"/>
        </w:rPr>
        <w:t>万元，完成计划的</w:t>
      </w:r>
      <w:r>
        <w:rPr>
          <w:rFonts w:hint="eastAsia" w:ascii="Times New Roman" w:hAnsi="Times New Roman" w:eastAsia="仿宋_GB2312" w:cs="Times New Roman"/>
          <w:sz w:val="32"/>
          <w:szCs w:val="32"/>
        </w:rPr>
        <w:t>63.2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可比口径下降3.1</w:t>
      </w:r>
      <w:r>
        <w:rPr>
          <w:rFonts w:ascii="Times New Roman" w:hAnsi="Times New Roman" w:eastAsia="仿宋_GB2312" w:cs="Times New Roman"/>
          <w:sz w:val="32"/>
          <w:szCs w:val="32"/>
        </w:rPr>
        <w:t>%。</w:t>
      </w:r>
    </w:p>
    <w:p w14:paraId="03F75583">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支出方面，</w:t>
      </w:r>
      <w:r>
        <w:rPr>
          <w:rFonts w:ascii="Times New Roman" w:hAnsi="Times New Roman" w:eastAsia="仿宋_GB2312" w:cs="Times New Roman"/>
          <w:color w:val="000000"/>
          <w:sz w:val="32"/>
          <w:szCs w:val="32"/>
        </w:rPr>
        <w:t>上半年，全区</w:t>
      </w:r>
      <w:r>
        <w:rPr>
          <w:rFonts w:ascii="Times New Roman" w:hAnsi="Times New Roman" w:eastAsia="仿宋_GB2312" w:cs="Times New Roman"/>
          <w:sz w:val="32"/>
          <w:szCs w:val="32"/>
        </w:rPr>
        <w:t>一般公共预算</w:t>
      </w:r>
      <w:r>
        <w:rPr>
          <w:rFonts w:ascii="Times New Roman" w:hAnsi="Times New Roman" w:eastAsia="仿宋_GB2312" w:cs="Times New Roman"/>
          <w:color w:val="000000"/>
          <w:sz w:val="32"/>
          <w:szCs w:val="32"/>
        </w:rPr>
        <w:t>支出</w:t>
      </w:r>
      <w:r>
        <w:rPr>
          <w:rFonts w:hint="eastAsia" w:ascii="Times New Roman" w:hAnsi="Times New Roman" w:eastAsia="仿宋_GB2312" w:cs="Times New Roman"/>
          <w:color w:val="000000"/>
          <w:sz w:val="32"/>
          <w:szCs w:val="32"/>
        </w:rPr>
        <w:t>128</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480</w:t>
      </w:r>
      <w:r>
        <w:rPr>
          <w:rFonts w:ascii="Times New Roman" w:hAnsi="Times New Roman" w:eastAsia="仿宋_GB2312" w:cs="Times New Roman"/>
          <w:color w:val="000000"/>
          <w:sz w:val="32"/>
          <w:szCs w:val="32"/>
        </w:rPr>
        <w:t>万元，完成计划的</w:t>
      </w:r>
      <w:r>
        <w:rPr>
          <w:rFonts w:hint="eastAsia" w:ascii="Times New Roman" w:hAnsi="Times New Roman" w:eastAsia="仿宋_GB2312" w:cs="Times New Roman"/>
          <w:color w:val="000000"/>
          <w:sz w:val="32"/>
          <w:szCs w:val="32"/>
        </w:rPr>
        <w:t>49.8</w:t>
      </w:r>
      <w:r>
        <w:rPr>
          <w:rFonts w:ascii="Times New Roman" w:hAnsi="Times New Roman" w:eastAsia="仿宋_GB2312" w:cs="Times New Roman"/>
          <w:color w:val="000000"/>
          <w:sz w:val="32"/>
          <w:szCs w:val="32"/>
        </w:rPr>
        <w:t>%，同比增长</w:t>
      </w:r>
      <w:r>
        <w:rPr>
          <w:rFonts w:hint="eastAsia" w:ascii="Times New Roman" w:hAnsi="Times New Roman" w:eastAsia="仿宋_GB2312" w:cs="Times New Roman"/>
          <w:color w:val="000000"/>
          <w:sz w:val="32"/>
          <w:szCs w:val="32"/>
        </w:rPr>
        <w:t>1.8</w:t>
      </w:r>
      <w:r>
        <w:rPr>
          <w:rFonts w:ascii="Times New Roman" w:hAnsi="Times New Roman" w:eastAsia="仿宋_GB2312" w:cs="Times New Roman"/>
          <w:color w:val="000000"/>
          <w:sz w:val="32"/>
          <w:szCs w:val="32"/>
        </w:rPr>
        <w:t>%。</w:t>
      </w:r>
    </w:p>
    <w:p w14:paraId="42983ADC">
      <w:pPr>
        <w:spacing w:after="0"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（二）政府性基金预算情况</w:t>
      </w:r>
    </w:p>
    <w:p w14:paraId="6516F392">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bCs/>
          <w:color w:val="000000"/>
          <w:sz w:val="32"/>
          <w:szCs w:val="32"/>
        </w:rPr>
        <w:t>收入方面</w:t>
      </w:r>
      <w:r>
        <w:rPr>
          <w:rFonts w:ascii="Times New Roman" w:hAnsi="Times New Roman" w:eastAsia="仿宋_GB2312" w:cs="Times New Roman"/>
          <w:color w:val="000000"/>
          <w:sz w:val="32"/>
          <w:szCs w:val="32"/>
        </w:rPr>
        <w:t>，上半年，</w:t>
      </w:r>
      <w:r>
        <w:rPr>
          <w:rFonts w:ascii="Times New Roman" w:hAnsi="Times New Roman" w:eastAsia="仿宋_GB2312" w:cs="Times New Roman"/>
          <w:sz w:val="32"/>
          <w:szCs w:val="32"/>
        </w:rPr>
        <w:t>全区</w:t>
      </w:r>
      <w:r>
        <w:rPr>
          <w:rFonts w:hint="eastAsia" w:ascii="Times New Roman" w:hAnsi="Times New Roman" w:eastAsia="仿宋_GB2312" w:cs="Times New Roman"/>
          <w:sz w:val="32"/>
          <w:szCs w:val="32"/>
        </w:rPr>
        <w:t>没有政府性基金收入</w:t>
      </w:r>
      <w:r>
        <w:rPr>
          <w:rFonts w:ascii="Times New Roman" w:hAnsi="Times New Roman" w:eastAsia="仿宋_GB2312" w:cs="Times New Roman"/>
          <w:sz w:val="32"/>
          <w:szCs w:val="32"/>
        </w:rPr>
        <w:t>。</w:t>
      </w:r>
    </w:p>
    <w:p w14:paraId="17B389F0">
      <w:pPr>
        <w:spacing w:after="0"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支出方面</w:t>
      </w:r>
      <w:r>
        <w:rPr>
          <w:rFonts w:ascii="Times New Roman" w:hAnsi="Times New Roman" w:eastAsia="仿宋_GB2312" w:cs="Times New Roman"/>
          <w:sz w:val="32"/>
          <w:szCs w:val="32"/>
        </w:rPr>
        <w:t>，上半年，全区政府性基金</w:t>
      </w:r>
      <w:r>
        <w:rPr>
          <w:rFonts w:ascii="Times New Roman" w:hAnsi="Times New Roman" w:eastAsia="仿宋_GB2312" w:cs="Times New Roman"/>
          <w:color w:val="000000"/>
          <w:sz w:val="32"/>
          <w:szCs w:val="32"/>
        </w:rPr>
        <w:t>支出</w:t>
      </w: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074</w:t>
      </w:r>
      <w:r>
        <w:rPr>
          <w:rFonts w:ascii="Times New Roman" w:hAnsi="Times New Roman" w:eastAsia="仿宋_GB2312" w:cs="Times New Roman"/>
          <w:color w:val="000000"/>
          <w:sz w:val="32"/>
          <w:szCs w:val="32"/>
        </w:rPr>
        <w:t>万元，完成计划的</w:t>
      </w:r>
      <w:r>
        <w:rPr>
          <w:rFonts w:hint="eastAsia" w:ascii="Times New Roman" w:hAnsi="Times New Roman" w:eastAsia="仿宋_GB2312" w:cs="Times New Roman"/>
          <w:color w:val="000000"/>
          <w:sz w:val="32"/>
          <w:szCs w:val="32"/>
        </w:rPr>
        <w:t>34.3</w:t>
      </w:r>
      <w:r>
        <w:rPr>
          <w:rFonts w:ascii="Times New Roman" w:hAnsi="Times New Roman" w:eastAsia="仿宋_GB2312" w:cs="Times New Roman"/>
          <w:color w:val="000000"/>
          <w:sz w:val="32"/>
          <w:szCs w:val="32"/>
        </w:rPr>
        <w:t>%，</w:t>
      </w:r>
      <w:r>
        <w:rPr>
          <w:rFonts w:ascii="Times New Roman" w:hAnsi="Times New Roman" w:eastAsia="仿宋_GB2312" w:cs="Times New Roman"/>
          <w:sz w:val="32"/>
          <w:szCs w:val="32"/>
        </w:rPr>
        <w:t>同比</w:t>
      </w:r>
      <w:r>
        <w:rPr>
          <w:rFonts w:hint="eastAsia" w:ascii="Times New Roman" w:hAnsi="Times New Roman" w:eastAsia="仿宋_GB2312" w:cs="Times New Roman"/>
          <w:sz w:val="32"/>
          <w:szCs w:val="32"/>
        </w:rPr>
        <w:t>下降22.5%</w:t>
      </w:r>
      <w:r>
        <w:rPr>
          <w:rFonts w:ascii="Times New Roman" w:hAnsi="Times New Roman" w:eastAsia="仿宋_GB2312" w:cs="Times New Roman"/>
          <w:color w:val="000000"/>
          <w:sz w:val="32"/>
          <w:szCs w:val="32"/>
        </w:rPr>
        <w:t>。</w:t>
      </w:r>
    </w:p>
    <w:p w14:paraId="05A6DE25">
      <w:pPr>
        <w:spacing w:after="0" w:line="576" w:lineRule="exact"/>
        <w:ind w:firstLine="700" w:firstLineChars="200"/>
        <w:rPr>
          <w:rFonts w:ascii="Times New Roman" w:hAnsi="Times New Roman" w:eastAsia="仿宋_GB2312" w:cs="Times New Roman"/>
          <w:sz w:val="32"/>
          <w:szCs w:val="32"/>
        </w:rPr>
      </w:pPr>
      <w:r>
        <w:rPr>
          <w:rFonts w:hint="eastAsia" w:ascii="Times New Roman" w:hAnsi="Times New Roman" w:eastAsia="楷体" w:cs="Times New Roman"/>
          <w:bCs/>
          <w:sz w:val="32"/>
          <w:szCs w:val="32"/>
        </w:rPr>
        <w:t>（三）</w:t>
      </w:r>
      <w:r>
        <w:rPr>
          <w:rFonts w:ascii="Times New Roman" w:hAnsi="Times New Roman" w:eastAsia="楷体" w:cs="Times New Roman"/>
          <w:bCs/>
          <w:sz w:val="32"/>
          <w:szCs w:val="32"/>
        </w:rPr>
        <w:t>预算执行特点</w:t>
      </w:r>
    </w:p>
    <w:p w14:paraId="472F2131">
      <w:pPr>
        <w:spacing w:after="0" w:line="576" w:lineRule="exact"/>
        <w:ind w:firstLine="700" w:firstLineChars="200"/>
        <w:rPr>
          <w:rFonts w:ascii="Times New Roman" w:hAnsi="Times New Roman" w:eastAsia="楷体" w:cs="Times New Roman"/>
          <w:bCs/>
          <w:sz w:val="32"/>
          <w:szCs w:val="32"/>
        </w:rPr>
      </w:pPr>
      <w:r>
        <w:rPr>
          <w:rFonts w:hint="eastAsia" w:ascii="Times New Roman" w:hAnsi="Times New Roman" w:eastAsia="楷体" w:cs="Times New Roman"/>
          <w:b/>
          <w:sz w:val="32"/>
          <w:szCs w:val="32"/>
        </w:rPr>
        <w:t>1.</w:t>
      </w:r>
      <w:r>
        <w:rPr>
          <w:rFonts w:hint="eastAsia" w:ascii="仿宋_GB2312" w:hAnsi="Times New Roman" w:eastAsia="仿宋_GB2312" w:cs="Times New Roman"/>
          <w:b/>
          <w:sz w:val="32"/>
          <w:szCs w:val="32"/>
        </w:rPr>
        <w:t>财政收入增速下降，税收结构性问题仍很突出。</w:t>
      </w:r>
      <w:r>
        <w:rPr>
          <w:rFonts w:ascii="Times New Roman" w:hAnsi="Times New Roman" w:eastAsia="仿宋_GB2312" w:cs="Times New Roman"/>
          <w:sz w:val="32"/>
          <w:szCs w:val="32"/>
        </w:rPr>
        <w:t>上半年</w:t>
      </w:r>
      <w:r>
        <w:rPr>
          <w:rFonts w:hint="eastAsia" w:ascii="Times New Roman" w:hAnsi="宋体" w:eastAsia="仿宋_GB2312" w:cs="Times New Roman"/>
          <w:sz w:val="32"/>
          <w:szCs w:val="32"/>
        </w:rPr>
        <w:t>，区本级收入完成5.1亿元，可比口径下降3.1%，其中税收收入完成3.8亿元，占比74%，可比口径下降5%；非税收入完成1.3亿元，占比26%，同比增长2.5%。</w:t>
      </w:r>
      <w:r>
        <w:rPr>
          <w:rFonts w:hint="eastAsia" w:ascii="Times New Roman" w:hAnsi="Times New Roman" w:eastAsia="仿宋_GB2312" w:cs="Times New Roman"/>
          <w:sz w:val="32"/>
          <w:szCs w:val="32"/>
        </w:rPr>
        <w:t>收入下降幅度较小更多依靠</w:t>
      </w:r>
      <w:r>
        <w:rPr>
          <w:rFonts w:hint="eastAsia" w:ascii="Times New Roman" w:hAnsi="宋体" w:eastAsia="仿宋_GB2312" w:cs="Times New Roman"/>
          <w:sz w:val="32"/>
          <w:szCs w:val="32"/>
        </w:rPr>
        <w:t>罚没、国有资本有偿使用等一次性非税收入拉动，收入质量不优。同时，财政收入对重点税源特别是金融业的依赖度过高，税源结构单一、税收来源过于集中的现状没有根本性改观，对冲外部压力能力较弱、韧性不高。</w:t>
      </w:r>
    </w:p>
    <w:p w14:paraId="40A329CB">
      <w:pPr>
        <w:tabs>
          <w:tab w:val="left" w:pos="312"/>
        </w:tabs>
        <w:spacing w:after="0" w:line="576" w:lineRule="exact"/>
        <w:ind w:firstLine="700" w:firstLineChars="200"/>
        <w:rPr>
          <w:rFonts w:ascii="Times New Roman" w:hAnsi="Times New Roman" w:eastAsia="仿宋_GB2312" w:cs="Times New Roman"/>
          <w:sz w:val="32"/>
          <w:szCs w:val="32"/>
        </w:rPr>
      </w:pPr>
      <w:r>
        <w:rPr>
          <w:rFonts w:hint="eastAsia" w:ascii="Times New Roman" w:hAnsi="Times New Roman" w:eastAsia="楷体" w:cs="Times New Roman"/>
          <w:b/>
          <w:sz w:val="32"/>
          <w:szCs w:val="32"/>
        </w:rPr>
        <w:t>2.</w:t>
      </w:r>
      <w:r>
        <w:rPr>
          <w:rFonts w:hint="eastAsia" w:ascii="仿宋_GB2312" w:hAnsi="Times New Roman" w:eastAsia="仿宋_GB2312" w:cs="Times New Roman"/>
          <w:b/>
          <w:sz w:val="32"/>
          <w:szCs w:val="32"/>
        </w:rPr>
        <w:t>财政支出规模攀升，刚性需求持续走高。</w:t>
      </w:r>
      <w:r>
        <w:rPr>
          <w:rFonts w:hint="eastAsia" w:ascii="Times New Roman" w:hAnsi="宋体" w:eastAsia="仿宋_GB2312" w:cs="Times New Roman"/>
          <w:sz w:val="32"/>
          <w:szCs w:val="32"/>
        </w:rPr>
        <w:t>上半年，我们严格落实“习惯过紧日子”要求，极限压缩一般公共预算支出，压减规模1.5亿元以上，压减比例达到26.8%，盘活资源资产资金0.6亿元，全部用于“三保”支出。但与上半年接近10亿元的“三保”支出比较，节约盘活资金仍显“底气不足”。与此同时，满足民生服务人员需求仍有缺口、债务付息成倍增长、教育、卫生、社会保障等民生领域支出法定增长，刚性需求攀升态势短期内不会改变。</w:t>
      </w:r>
    </w:p>
    <w:p w14:paraId="0094A967">
      <w:pPr>
        <w:tabs>
          <w:tab w:val="left" w:pos="312"/>
        </w:tabs>
        <w:spacing w:after="0" w:line="576" w:lineRule="exact"/>
        <w:ind w:firstLine="700" w:firstLineChars="200"/>
        <w:rPr>
          <w:rFonts w:hint="eastAsia" w:ascii="Times New Roman" w:hAnsi="宋体" w:eastAsia="仿宋_GB2312" w:cs="Times New Roman"/>
          <w:sz w:val="32"/>
          <w:szCs w:val="32"/>
        </w:rPr>
      </w:pPr>
      <w:r>
        <w:rPr>
          <w:rFonts w:hint="eastAsia" w:ascii="Times New Roman" w:hAnsi="Times New Roman" w:eastAsia="楷体" w:cs="Times New Roman"/>
          <w:b/>
          <w:sz w:val="32"/>
          <w:szCs w:val="32"/>
        </w:rPr>
        <w:t>3.</w:t>
      </w:r>
      <w:r>
        <w:rPr>
          <w:rFonts w:hint="eastAsia" w:ascii="仿宋_GB2312" w:hAnsi="Times New Roman" w:eastAsia="仿宋_GB2312" w:cs="Times New Roman"/>
          <w:b/>
          <w:sz w:val="32"/>
          <w:szCs w:val="32"/>
        </w:rPr>
        <w:t>财政收支矛盾突出，财政自给率持续走低。</w:t>
      </w:r>
      <w:r>
        <w:rPr>
          <w:rFonts w:hint="eastAsia" w:ascii="Times New Roman" w:hAnsi="宋体" w:eastAsia="仿宋_GB2312" w:cs="Times New Roman"/>
          <w:sz w:val="32"/>
          <w:szCs w:val="32"/>
        </w:rPr>
        <w:t>上半年，全区一般公共预算支出12.8亿元，同比增长1.8%。但财政自给率仅为39.9%，较上年同期下降2个百分点，收支差异形成巨大的“剪刀差”。同时， 2025年“三保”预算支出达到18.6亿元，占全年预算安排超70%，创历史新高。编外人员支出、债券付息支出、城市运维等各类刚性支出压力逐年递增，导致收支不平衡的风险持续加大，收支矛盾呈现扩大趋势。</w:t>
      </w:r>
    </w:p>
    <w:p w14:paraId="399E2B68">
      <w:pPr>
        <w:spacing w:after="0" w:line="576" w:lineRule="exact"/>
        <w:ind w:firstLine="700" w:firstLineChars="200"/>
        <w:rPr>
          <w:rFonts w:ascii="Times New Roman" w:hAnsi="Times New Roman" w:eastAsia="黑体" w:cs="Times New Roman"/>
          <w:sz w:val="32"/>
          <w:szCs w:val="32"/>
        </w:rPr>
      </w:pPr>
      <w:r>
        <w:rPr>
          <w:rFonts w:ascii="Times New Roman" w:hAnsi="黑体" w:eastAsia="黑体" w:cs="Times New Roman"/>
          <w:sz w:val="32"/>
          <w:szCs w:val="32"/>
        </w:rPr>
        <w:t>三、下半年工作安排</w:t>
      </w:r>
    </w:p>
    <w:p w14:paraId="3F65EB5D">
      <w:pPr>
        <w:spacing w:after="0" w:line="576" w:lineRule="exact"/>
        <w:ind w:firstLine="70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一是多措并举抓收入，在财力提升上下真功。</w:t>
      </w:r>
      <w:r>
        <w:rPr>
          <w:rFonts w:hint="eastAsia" w:ascii="Times New Roman" w:hAnsi="Times New Roman" w:eastAsia="仿宋_GB2312" w:cs="Times New Roman"/>
          <w:sz w:val="32"/>
          <w:szCs w:val="32"/>
        </w:rPr>
        <w:t>紧盯收入目标，强化重点行业、重点企业、重点税种、重点税源动态监测，提前做好收入预判。紧盯潜在税源和可挖掘税源，持续开展未办税户清查、新办税户管理，确保收入及时入库。充分调度税务部门职能作用，全面梳理企业欠税情况，加强动态监管，控新欠、清陈欠。积极向上对接，争取上级转移支付、债券资金倾斜，增强财政统筹保障能力。持续加大资源资产资金盘活力度，采取租赁、置换、以资抵债等途径，提高资产变现能力。</w:t>
      </w:r>
    </w:p>
    <w:p w14:paraId="7EF809F7">
      <w:pPr>
        <w:spacing w:after="0" w:line="576" w:lineRule="exact"/>
        <w:ind w:firstLine="700" w:firstLineChars="200"/>
        <w:rPr>
          <w:rFonts w:ascii="Times New Roman" w:hAnsi="Times New Roman" w:eastAsia="仿宋_GB2312" w:cs="Times New Roman"/>
          <w:sz w:val="32"/>
          <w:szCs w:val="32"/>
        </w:rPr>
      </w:pPr>
      <w:r>
        <w:rPr>
          <w:rFonts w:hint="eastAsia" w:ascii="楷体_GB2312" w:hAnsi="Times New Roman" w:eastAsia="楷体_GB2312" w:cs="Times New Roman"/>
          <w:sz w:val="32"/>
          <w:szCs w:val="32"/>
        </w:rPr>
        <w:t>二是优化结构控支出，在民生保障上见真章。</w:t>
      </w:r>
      <w:r>
        <w:rPr>
          <w:rFonts w:hint="eastAsia" w:ascii="Times New Roman" w:hAnsi="Times New Roman" w:eastAsia="仿宋_GB2312" w:cs="Times New Roman"/>
          <w:sz w:val="32"/>
          <w:szCs w:val="32"/>
        </w:rPr>
        <w:t>严格落实“过紧日子”和《党政机关厉行节约反对浪费条例》要求，最大限度压缩一般性支出。完善资源资产共享机制，严格资产购置，杜绝非必须办公用房装修租赁支出。把牢预算支出关口，强化预算指标管理，严控预算调剂和追加事项。强化财政运行监测，对资金支出进度缓慢、项目未如期实施或未开展的项目资金收回调剂。围绕中心、服务大局，全力满足教育、卫生、社会保障等法定增长目标和全年省标“三保+7”不出现硬缺口。</w:t>
      </w:r>
    </w:p>
    <w:p w14:paraId="1CD66230">
      <w:pPr>
        <w:spacing w:after="0" w:line="576" w:lineRule="exact"/>
        <w:ind w:firstLine="700" w:firstLineChars="200"/>
        <w:rPr>
          <w:rFonts w:ascii="Times New Roman" w:hAnsi="Times New Roman" w:eastAsia="仿宋_GB2312" w:cs="Times New Roman"/>
          <w:sz w:val="32"/>
          <w:szCs w:val="32"/>
        </w:rPr>
      </w:pPr>
      <w:r>
        <w:rPr>
          <w:rFonts w:hint="eastAsia" w:ascii="楷体_GB2312" w:hAnsi="Times New Roman" w:eastAsia="楷体_GB2312" w:cs="Times New Roman"/>
          <w:sz w:val="32"/>
          <w:szCs w:val="32"/>
        </w:rPr>
        <w:t>三是深化改革强管理，在财政工作上求实效。</w:t>
      </w:r>
      <w:r>
        <w:rPr>
          <w:rFonts w:hint="eastAsia" w:ascii="Times New Roman" w:hAnsi="Times New Roman" w:eastAsia="仿宋_GB2312" w:cs="Times New Roman"/>
          <w:sz w:val="32"/>
          <w:szCs w:val="32"/>
        </w:rPr>
        <w:t>深化零基预算改革，坚持“量力而行、因事定钱、按事核资”原则，让有限财政资金精准投向最急需、最产生效益的领域。</w:t>
      </w:r>
      <w:r>
        <w:rPr>
          <w:rFonts w:hint="eastAsia" w:ascii="Times New Roman" w:hAnsi="Times New Roman" w:eastAsia="仿宋_GB2312" w:cs="Times New Roman"/>
          <w:bCs/>
          <w:sz w:val="32"/>
          <w:szCs w:val="32"/>
        </w:rPr>
        <w:t>坚持</w:t>
      </w:r>
      <w:r>
        <w:rPr>
          <w:rFonts w:hint="eastAsia" w:ascii="Times New Roman" w:hAnsi="Times New Roman" w:eastAsia="仿宋_GB2312" w:cs="Times New Roman"/>
          <w:sz w:val="32"/>
          <w:szCs w:val="32"/>
        </w:rPr>
        <w:t>“花钱必问效，无效必问责”理念，将预算绩效管理同零基预算改革有效衔接，扎实推进预算绩效管理提质增效。深化国有资本运营，不断提升南关国投核心竞争力和综合实力，为全局经济发展提供新支撑。</w:t>
      </w:r>
    </w:p>
    <w:p w14:paraId="36EF16F9">
      <w:pPr>
        <w:spacing w:after="0" w:line="576" w:lineRule="exact"/>
        <w:ind w:firstLine="70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四是守住底线防风险，在财政运行上保安全。</w:t>
      </w:r>
      <w:r>
        <w:rPr>
          <w:rFonts w:hint="eastAsia" w:ascii="Times New Roman" w:hAnsi="Times New Roman" w:eastAsia="仿宋_GB2312" w:cs="Times New Roman"/>
          <w:bCs/>
          <w:sz w:val="32"/>
          <w:szCs w:val="32"/>
        </w:rPr>
        <w:t>严格落实“三保”支出主体责任，建立库款动态监测和风险预警机制，持续跟踪“三保”库款保障水平，保证专户库款充盈。</w:t>
      </w:r>
      <w:r>
        <w:rPr>
          <w:rFonts w:hint="eastAsia" w:ascii="Times New Roman" w:hAnsi="Times New Roman" w:eastAsia="仿宋_GB2312" w:cs="Times New Roman"/>
          <w:sz w:val="32"/>
          <w:szCs w:val="32"/>
        </w:rPr>
        <w:t>牢固树立政府债务风险防范意识，强化政府投资项目立项财政承受能力评估，坚决遏制隐性债务增量，保持债务风险绿色安全可控。</w:t>
      </w:r>
    </w:p>
    <w:p w14:paraId="047A75B6">
      <w:pPr>
        <w:spacing w:after="0" w:line="576" w:lineRule="exact"/>
        <w:ind w:firstLine="700" w:firstLineChars="200"/>
        <w:rPr>
          <w:rFonts w:hint="eastAsia" w:ascii="仿宋_GB2312" w:hAnsi="仿宋" w:eastAsia="仿宋_GB2312" w:cs="仿宋"/>
          <w:color w:val="000000"/>
          <w:sz w:val="32"/>
          <w:szCs w:val="32"/>
          <w:lang w:val="zh-CN"/>
        </w:rPr>
      </w:pPr>
      <w:r>
        <w:rPr>
          <w:rFonts w:ascii="Times New Roman" w:hAnsi="Times New Roman" w:eastAsia="仿宋_GB2312" w:cs="Times New Roman"/>
          <w:sz w:val="32"/>
          <w:szCs w:val="32"/>
        </w:rPr>
        <w:t>主任、各位副主任、各位委员，</w:t>
      </w:r>
      <w:r>
        <w:rPr>
          <w:rFonts w:hint="eastAsia" w:ascii="Times New Roman" w:hAnsi="Times New Roman" w:eastAsia="仿宋_GB2312" w:cs="Times New Roman"/>
          <w:sz w:val="32"/>
          <w:szCs w:val="32"/>
        </w:rPr>
        <w:t>2025年下半年是</w:t>
      </w:r>
      <w:r>
        <w:rPr>
          <w:rFonts w:hint="eastAsia" w:ascii="仿宋_GB2312" w:hAnsi="仿宋" w:eastAsia="仿宋_GB2312" w:cs="仿宋"/>
          <w:color w:val="000000"/>
          <w:sz w:val="32"/>
          <w:szCs w:val="32"/>
          <w:lang w:val="zh-CN"/>
        </w:rPr>
        <w:t>“十四五”规划冲刺收官、振兴突破三年攻坚行动决胜的关键阶段。作为决战决胜的强有力保障，财政工作仍面临诸多挑战：经济持续下行、收入预期不足、收支矛盾突出、“三保”风险加剧。面对困难，我们别无选择，唯有坚定信心、迎难而上，在区委的坚强领导下、在区人大、区政协的监督支持下，全面贯彻落实习近平经济思想，不折不扣落实习近平总书记在听取吉林省委和省政府工作汇报时的重要讲话精神，按照区委十四届九次全会明确的各项经济任务目标，克难攻坚、开拓思路，守底线，保平稳，抓增收、控支出，以脚踏实地的工作作风、扎实有效的工作业绩，为推动南关全面振兴率先实现新突破做出新的更大贡献！</w:t>
      </w:r>
      <w:r>
        <w:rPr>
          <w:rFonts w:ascii="仿宋_GB2312" w:hAnsi="仿宋" w:eastAsia="仿宋_GB2312" w:cs="仿宋"/>
          <w:color w:val="000000"/>
          <w:sz w:val="32"/>
          <w:szCs w:val="32"/>
          <w:lang w:val="zh-CN"/>
        </w:rPr>
        <w:t xml:space="preserve"> </w:t>
      </w:r>
    </w:p>
    <w:sectPr>
      <w:footerReference r:id="rId5" w:type="default"/>
      <w:pgSz w:w="11906" w:h="16838"/>
      <w:pgMar w:top="1418" w:right="1418" w:bottom="1418" w:left="1418" w:header="851" w:footer="992" w:gutter="0"/>
      <w:pgNumType w:fmt="numberInDash"/>
      <w:cols w:space="425" w:num="1"/>
      <w:docGrid w:type="linesAndChars" w:linePitch="312" w:charSpace="61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50455"/>
    </w:sdtPr>
    <w:sdtEndPr>
      <w:rPr>
        <w:rFonts w:ascii="仿宋" w:hAnsi="仿宋" w:eastAsia="仿宋" w:cs="Times New Roman"/>
        <w:b/>
      </w:rPr>
    </w:sdtEndPr>
    <w:sdtContent>
      <w:p w14:paraId="12554C0F">
        <w:pPr>
          <w:pStyle w:val="5"/>
          <w:jc w:val="center"/>
          <w:rPr>
            <w:rFonts w:hint="eastAsia" w:ascii="仿宋" w:hAnsi="仿宋" w:eastAsia="仿宋" w:cs="Times New Roman"/>
            <w:b/>
          </w:rPr>
        </w:pPr>
        <w:r>
          <w:rPr>
            <w:rFonts w:ascii="仿宋" w:hAnsi="仿宋" w:eastAsia="仿宋" w:cs="Times New Roman"/>
            <w:b/>
          </w:rPr>
          <w:fldChar w:fldCharType="begin"/>
        </w:r>
        <w:r>
          <w:rPr>
            <w:rFonts w:ascii="仿宋" w:hAnsi="仿宋" w:eastAsia="仿宋" w:cs="Times New Roman"/>
            <w:b/>
          </w:rPr>
          <w:instrText xml:space="preserve"> PAGE   \* MERGEFORMAT </w:instrText>
        </w:r>
        <w:r>
          <w:rPr>
            <w:rFonts w:ascii="仿宋" w:hAnsi="仿宋" w:eastAsia="仿宋" w:cs="Times New Roman"/>
            <w:b/>
          </w:rPr>
          <w:fldChar w:fldCharType="separate"/>
        </w:r>
        <w:r>
          <w:rPr>
            <w:rFonts w:ascii="仿宋" w:hAnsi="仿宋" w:eastAsia="仿宋" w:cs="Times New Roman"/>
            <w:b/>
            <w:lang w:val="zh-CN"/>
          </w:rPr>
          <w:t>-</w:t>
        </w:r>
        <w:r>
          <w:rPr>
            <w:rFonts w:ascii="仿宋" w:hAnsi="仿宋" w:eastAsia="仿宋" w:cs="Times New Roman"/>
            <w:b/>
          </w:rPr>
          <w:t xml:space="preserve"> 9 -</w:t>
        </w:r>
        <w:r>
          <w:rPr>
            <w:rFonts w:ascii="仿宋" w:hAnsi="仿宋" w:eastAsia="仿宋" w:cs="Times New Roman"/>
            <w:b/>
          </w:rPr>
          <w:fldChar w:fldCharType="end"/>
        </w:r>
      </w:p>
    </w:sdtContent>
  </w:sdt>
  <w:p w14:paraId="6D53A148">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4YmM3ODM4MTYxZWY3ODA1ZGMwNjc4ZTE2MTdiMWQifQ=="/>
  </w:docVars>
  <w:rsids>
    <w:rsidRoot w:val="004E4AA5"/>
    <w:rsid w:val="00006EA7"/>
    <w:rsid w:val="00013F78"/>
    <w:rsid w:val="00015243"/>
    <w:rsid w:val="000156DE"/>
    <w:rsid w:val="000165D5"/>
    <w:rsid w:val="000179B1"/>
    <w:rsid w:val="00021139"/>
    <w:rsid w:val="00024907"/>
    <w:rsid w:val="0002631D"/>
    <w:rsid w:val="0003030C"/>
    <w:rsid w:val="00031715"/>
    <w:rsid w:val="0003577F"/>
    <w:rsid w:val="00036603"/>
    <w:rsid w:val="00040E89"/>
    <w:rsid w:val="00041869"/>
    <w:rsid w:val="0004320C"/>
    <w:rsid w:val="00043DA7"/>
    <w:rsid w:val="00045946"/>
    <w:rsid w:val="00060186"/>
    <w:rsid w:val="00061E2D"/>
    <w:rsid w:val="0006413F"/>
    <w:rsid w:val="00064F92"/>
    <w:rsid w:val="00065827"/>
    <w:rsid w:val="000706E9"/>
    <w:rsid w:val="00071A98"/>
    <w:rsid w:val="00071FF6"/>
    <w:rsid w:val="00090394"/>
    <w:rsid w:val="00092114"/>
    <w:rsid w:val="000A07D6"/>
    <w:rsid w:val="000A0B2A"/>
    <w:rsid w:val="000A158B"/>
    <w:rsid w:val="000A2B3D"/>
    <w:rsid w:val="000A6C33"/>
    <w:rsid w:val="000A7227"/>
    <w:rsid w:val="000B0D94"/>
    <w:rsid w:val="000B35C6"/>
    <w:rsid w:val="000D2D7E"/>
    <w:rsid w:val="000D3020"/>
    <w:rsid w:val="000D576A"/>
    <w:rsid w:val="000E0E5E"/>
    <w:rsid w:val="000E1BB2"/>
    <w:rsid w:val="000E31A1"/>
    <w:rsid w:val="000E5B57"/>
    <w:rsid w:val="000F1354"/>
    <w:rsid w:val="000F43FD"/>
    <w:rsid w:val="000F5EF6"/>
    <w:rsid w:val="00104687"/>
    <w:rsid w:val="0010794C"/>
    <w:rsid w:val="00113888"/>
    <w:rsid w:val="0011489E"/>
    <w:rsid w:val="00114B14"/>
    <w:rsid w:val="001214BA"/>
    <w:rsid w:val="0012255E"/>
    <w:rsid w:val="00134AC7"/>
    <w:rsid w:val="00134DD6"/>
    <w:rsid w:val="00135989"/>
    <w:rsid w:val="00143ED4"/>
    <w:rsid w:val="00144BDF"/>
    <w:rsid w:val="00145024"/>
    <w:rsid w:val="0014744F"/>
    <w:rsid w:val="0015623A"/>
    <w:rsid w:val="00156720"/>
    <w:rsid w:val="001626CF"/>
    <w:rsid w:val="001632DA"/>
    <w:rsid w:val="00165761"/>
    <w:rsid w:val="0016601F"/>
    <w:rsid w:val="0017243D"/>
    <w:rsid w:val="001763E2"/>
    <w:rsid w:val="00176841"/>
    <w:rsid w:val="00180FBE"/>
    <w:rsid w:val="001820CE"/>
    <w:rsid w:val="00182466"/>
    <w:rsid w:val="001872C7"/>
    <w:rsid w:val="00187930"/>
    <w:rsid w:val="00196D6D"/>
    <w:rsid w:val="001A07F2"/>
    <w:rsid w:val="001A153D"/>
    <w:rsid w:val="001A21FF"/>
    <w:rsid w:val="001A5FA4"/>
    <w:rsid w:val="001B2970"/>
    <w:rsid w:val="001B2BDC"/>
    <w:rsid w:val="001B2DDF"/>
    <w:rsid w:val="001B345B"/>
    <w:rsid w:val="001B4530"/>
    <w:rsid w:val="001C3EE3"/>
    <w:rsid w:val="001C6507"/>
    <w:rsid w:val="001C6BAF"/>
    <w:rsid w:val="001C73BB"/>
    <w:rsid w:val="001C7534"/>
    <w:rsid w:val="001D051D"/>
    <w:rsid w:val="001D1D85"/>
    <w:rsid w:val="001D3A17"/>
    <w:rsid w:val="001D5F57"/>
    <w:rsid w:val="001E0366"/>
    <w:rsid w:val="001E4584"/>
    <w:rsid w:val="001E6889"/>
    <w:rsid w:val="001E689F"/>
    <w:rsid w:val="001F3F13"/>
    <w:rsid w:val="001F6A0E"/>
    <w:rsid w:val="00200D06"/>
    <w:rsid w:val="002017FC"/>
    <w:rsid w:val="002027E8"/>
    <w:rsid w:val="002070F0"/>
    <w:rsid w:val="00211DE9"/>
    <w:rsid w:val="00213B4F"/>
    <w:rsid w:val="00216546"/>
    <w:rsid w:val="00221511"/>
    <w:rsid w:val="002245DB"/>
    <w:rsid w:val="00225178"/>
    <w:rsid w:val="0023351F"/>
    <w:rsid w:val="00235586"/>
    <w:rsid w:val="00241B44"/>
    <w:rsid w:val="00252E63"/>
    <w:rsid w:val="002542F0"/>
    <w:rsid w:val="0026003A"/>
    <w:rsid w:val="002608A0"/>
    <w:rsid w:val="002671A6"/>
    <w:rsid w:val="00267754"/>
    <w:rsid w:val="00275A18"/>
    <w:rsid w:val="0028055D"/>
    <w:rsid w:val="002806A5"/>
    <w:rsid w:val="00281035"/>
    <w:rsid w:val="00281A1B"/>
    <w:rsid w:val="00283DED"/>
    <w:rsid w:val="00284D6F"/>
    <w:rsid w:val="00291035"/>
    <w:rsid w:val="00294921"/>
    <w:rsid w:val="002A110D"/>
    <w:rsid w:val="002A1B5C"/>
    <w:rsid w:val="002A796D"/>
    <w:rsid w:val="002B1039"/>
    <w:rsid w:val="002B2247"/>
    <w:rsid w:val="002B39AF"/>
    <w:rsid w:val="002B710A"/>
    <w:rsid w:val="002B74C6"/>
    <w:rsid w:val="002C0D33"/>
    <w:rsid w:val="002C39C4"/>
    <w:rsid w:val="002C4466"/>
    <w:rsid w:val="002C7CEF"/>
    <w:rsid w:val="002C7E9D"/>
    <w:rsid w:val="002D0042"/>
    <w:rsid w:val="002D03FB"/>
    <w:rsid w:val="002D5735"/>
    <w:rsid w:val="002D7238"/>
    <w:rsid w:val="002E10F7"/>
    <w:rsid w:val="002E2D3A"/>
    <w:rsid w:val="002E3A11"/>
    <w:rsid w:val="002E580D"/>
    <w:rsid w:val="002E5D5C"/>
    <w:rsid w:val="002F13C5"/>
    <w:rsid w:val="003009CC"/>
    <w:rsid w:val="0030174F"/>
    <w:rsid w:val="003032D7"/>
    <w:rsid w:val="00303A14"/>
    <w:rsid w:val="00305324"/>
    <w:rsid w:val="00305F88"/>
    <w:rsid w:val="003069D8"/>
    <w:rsid w:val="003073DD"/>
    <w:rsid w:val="00307F9D"/>
    <w:rsid w:val="00310EEF"/>
    <w:rsid w:val="00313157"/>
    <w:rsid w:val="003134A1"/>
    <w:rsid w:val="00316AA5"/>
    <w:rsid w:val="00317AC1"/>
    <w:rsid w:val="00323F6B"/>
    <w:rsid w:val="003245BC"/>
    <w:rsid w:val="00327F56"/>
    <w:rsid w:val="00332C8F"/>
    <w:rsid w:val="00333769"/>
    <w:rsid w:val="00333B7B"/>
    <w:rsid w:val="00335E6E"/>
    <w:rsid w:val="003434A1"/>
    <w:rsid w:val="0034399A"/>
    <w:rsid w:val="0034593E"/>
    <w:rsid w:val="00347D40"/>
    <w:rsid w:val="00351944"/>
    <w:rsid w:val="00351C4D"/>
    <w:rsid w:val="003551A0"/>
    <w:rsid w:val="00356319"/>
    <w:rsid w:val="00361576"/>
    <w:rsid w:val="0037283D"/>
    <w:rsid w:val="003743D5"/>
    <w:rsid w:val="00374E7E"/>
    <w:rsid w:val="00374E94"/>
    <w:rsid w:val="003754E2"/>
    <w:rsid w:val="0037589C"/>
    <w:rsid w:val="003770F8"/>
    <w:rsid w:val="00381360"/>
    <w:rsid w:val="00386257"/>
    <w:rsid w:val="00390018"/>
    <w:rsid w:val="00395EE1"/>
    <w:rsid w:val="003A5132"/>
    <w:rsid w:val="003A5184"/>
    <w:rsid w:val="003A61FA"/>
    <w:rsid w:val="003B10B5"/>
    <w:rsid w:val="003B1B6C"/>
    <w:rsid w:val="003B3A37"/>
    <w:rsid w:val="003B588E"/>
    <w:rsid w:val="003C238B"/>
    <w:rsid w:val="003C2685"/>
    <w:rsid w:val="003C5D21"/>
    <w:rsid w:val="003C7BAF"/>
    <w:rsid w:val="003D05CB"/>
    <w:rsid w:val="003D19C9"/>
    <w:rsid w:val="003D2CAB"/>
    <w:rsid w:val="003D3070"/>
    <w:rsid w:val="003D3182"/>
    <w:rsid w:val="003E6131"/>
    <w:rsid w:val="003E7799"/>
    <w:rsid w:val="003F1F96"/>
    <w:rsid w:val="003F213C"/>
    <w:rsid w:val="003F24F8"/>
    <w:rsid w:val="003F2B24"/>
    <w:rsid w:val="003F7525"/>
    <w:rsid w:val="003F7D87"/>
    <w:rsid w:val="00400368"/>
    <w:rsid w:val="00402C08"/>
    <w:rsid w:val="00402D0E"/>
    <w:rsid w:val="00402F19"/>
    <w:rsid w:val="00405841"/>
    <w:rsid w:val="0040616E"/>
    <w:rsid w:val="004106ED"/>
    <w:rsid w:val="00412C1F"/>
    <w:rsid w:val="00414394"/>
    <w:rsid w:val="00414F09"/>
    <w:rsid w:val="004176D0"/>
    <w:rsid w:val="00423906"/>
    <w:rsid w:val="0042394C"/>
    <w:rsid w:val="004270AB"/>
    <w:rsid w:val="004301E4"/>
    <w:rsid w:val="0043216F"/>
    <w:rsid w:val="00442A51"/>
    <w:rsid w:val="00443CB9"/>
    <w:rsid w:val="00443FF9"/>
    <w:rsid w:val="004450F5"/>
    <w:rsid w:val="00447BB5"/>
    <w:rsid w:val="00452BF1"/>
    <w:rsid w:val="00457282"/>
    <w:rsid w:val="00461B29"/>
    <w:rsid w:val="004648E9"/>
    <w:rsid w:val="00465749"/>
    <w:rsid w:val="00465770"/>
    <w:rsid w:val="00466103"/>
    <w:rsid w:val="004667EE"/>
    <w:rsid w:val="0046771D"/>
    <w:rsid w:val="004702B0"/>
    <w:rsid w:val="00470C26"/>
    <w:rsid w:val="00471233"/>
    <w:rsid w:val="0047619F"/>
    <w:rsid w:val="004763BD"/>
    <w:rsid w:val="004771FD"/>
    <w:rsid w:val="004830C3"/>
    <w:rsid w:val="00483CD2"/>
    <w:rsid w:val="00494022"/>
    <w:rsid w:val="00495647"/>
    <w:rsid w:val="004A116F"/>
    <w:rsid w:val="004A2270"/>
    <w:rsid w:val="004B0CA3"/>
    <w:rsid w:val="004B0EBF"/>
    <w:rsid w:val="004B1D9E"/>
    <w:rsid w:val="004B2F09"/>
    <w:rsid w:val="004B596F"/>
    <w:rsid w:val="004C10FF"/>
    <w:rsid w:val="004C41AB"/>
    <w:rsid w:val="004C519D"/>
    <w:rsid w:val="004D3426"/>
    <w:rsid w:val="004D34C2"/>
    <w:rsid w:val="004D5491"/>
    <w:rsid w:val="004E0135"/>
    <w:rsid w:val="004E18E1"/>
    <w:rsid w:val="004E1D76"/>
    <w:rsid w:val="004E2094"/>
    <w:rsid w:val="004E4AA5"/>
    <w:rsid w:val="004E6B82"/>
    <w:rsid w:val="004E7177"/>
    <w:rsid w:val="004F23E2"/>
    <w:rsid w:val="004F2EBF"/>
    <w:rsid w:val="004F3D46"/>
    <w:rsid w:val="004F490D"/>
    <w:rsid w:val="004F5274"/>
    <w:rsid w:val="004F5EED"/>
    <w:rsid w:val="004F6C83"/>
    <w:rsid w:val="004F74BA"/>
    <w:rsid w:val="005013A6"/>
    <w:rsid w:val="00501D5C"/>
    <w:rsid w:val="00502685"/>
    <w:rsid w:val="005057A0"/>
    <w:rsid w:val="00506137"/>
    <w:rsid w:val="00510681"/>
    <w:rsid w:val="005116D1"/>
    <w:rsid w:val="0051688B"/>
    <w:rsid w:val="0052015C"/>
    <w:rsid w:val="00521537"/>
    <w:rsid w:val="00523290"/>
    <w:rsid w:val="00524ED4"/>
    <w:rsid w:val="00525799"/>
    <w:rsid w:val="0052656F"/>
    <w:rsid w:val="005266E8"/>
    <w:rsid w:val="00531913"/>
    <w:rsid w:val="00536370"/>
    <w:rsid w:val="00540DA1"/>
    <w:rsid w:val="00542A32"/>
    <w:rsid w:val="00542C6D"/>
    <w:rsid w:val="00550F34"/>
    <w:rsid w:val="00554399"/>
    <w:rsid w:val="0055562F"/>
    <w:rsid w:val="00556A06"/>
    <w:rsid w:val="00561FDE"/>
    <w:rsid w:val="00566ACA"/>
    <w:rsid w:val="005726A3"/>
    <w:rsid w:val="00575D4F"/>
    <w:rsid w:val="00575F03"/>
    <w:rsid w:val="00576C0C"/>
    <w:rsid w:val="005830D1"/>
    <w:rsid w:val="00583204"/>
    <w:rsid w:val="005864FE"/>
    <w:rsid w:val="00587B75"/>
    <w:rsid w:val="00595441"/>
    <w:rsid w:val="00595CD9"/>
    <w:rsid w:val="00596EDC"/>
    <w:rsid w:val="005A14FE"/>
    <w:rsid w:val="005A53DA"/>
    <w:rsid w:val="005B024D"/>
    <w:rsid w:val="005B0FD0"/>
    <w:rsid w:val="005B1906"/>
    <w:rsid w:val="005B2465"/>
    <w:rsid w:val="005B25E9"/>
    <w:rsid w:val="005B4E0C"/>
    <w:rsid w:val="005B546B"/>
    <w:rsid w:val="005B69F8"/>
    <w:rsid w:val="005C1603"/>
    <w:rsid w:val="005C1EEE"/>
    <w:rsid w:val="005C2996"/>
    <w:rsid w:val="005C5B9C"/>
    <w:rsid w:val="005C6CE5"/>
    <w:rsid w:val="005D39AF"/>
    <w:rsid w:val="005D44A1"/>
    <w:rsid w:val="005D6989"/>
    <w:rsid w:val="005E497F"/>
    <w:rsid w:val="005F6148"/>
    <w:rsid w:val="005F720A"/>
    <w:rsid w:val="00600297"/>
    <w:rsid w:val="0060032C"/>
    <w:rsid w:val="0060113A"/>
    <w:rsid w:val="00601620"/>
    <w:rsid w:val="0060476E"/>
    <w:rsid w:val="00606120"/>
    <w:rsid w:val="00614F2E"/>
    <w:rsid w:val="00616E59"/>
    <w:rsid w:val="006239D4"/>
    <w:rsid w:val="0062420A"/>
    <w:rsid w:val="00625685"/>
    <w:rsid w:val="006344B9"/>
    <w:rsid w:val="006344F3"/>
    <w:rsid w:val="00637A11"/>
    <w:rsid w:val="00642884"/>
    <w:rsid w:val="00647CDD"/>
    <w:rsid w:val="00650B5C"/>
    <w:rsid w:val="0065190C"/>
    <w:rsid w:val="006521BC"/>
    <w:rsid w:val="006555EC"/>
    <w:rsid w:val="00660287"/>
    <w:rsid w:val="00662D54"/>
    <w:rsid w:val="00664CB3"/>
    <w:rsid w:val="00667E0B"/>
    <w:rsid w:val="0067004F"/>
    <w:rsid w:val="00670C0C"/>
    <w:rsid w:val="00670D31"/>
    <w:rsid w:val="00671816"/>
    <w:rsid w:val="00674865"/>
    <w:rsid w:val="0067675B"/>
    <w:rsid w:val="00685770"/>
    <w:rsid w:val="00691A22"/>
    <w:rsid w:val="00691B87"/>
    <w:rsid w:val="00691EFC"/>
    <w:rsid w:val="00692A6F"/>
    <w:rsid w:val="00696EFA"/>
    <w:rsid w:val="0069723F"/>
    <w:rsid w:val="0069775F"/>
    <w:rsid w:val="006A1FC5"/>
    <w:rsid w:val="006A20A0"/>
    <w:rsid w:val="006A2D0D"/>
    <w:rsid w:val="006A6818"/>
    <w:rsid w:val="006A6A7C"/>
    <w:rsid w:val="006B1965"/>
    <w:rsid w:val="006B573E"/>
    <w:rsid w:val="006C0870"/>
    <w:rsid w:val="006C0F58"/>
    <w:rsid w:val="006C5BD4"/>
    <w:rsid w:val="006C6512"/>
    <w:rsid w:val="006C7F3A"/>
    <w:rsid w:val="006D2663"/>
    <w:rsid w:val="006F080E"/>
    <w:rsid w:val="006F7F9F"/>
    <w:rsid w:val="00700145"/>
    <w:rsid w:val="00703614"/>
    <w:rsid w:val="00704C63"/>
    <w:rsid w:val="00704D14"/>
    <w:rsid w:val="00705696"/>
    <w:rsid w:val="00706512"/>
    <w:rsid w:val="00706ABE"/>
    <w:rsid w:val="00707473"/>
    <w:rsid w:val="00712FB5"/>
    <w:rsid w:val="00714EB1"/>
    <w:rsid w:val="007208CA"/>
    <w:rsid w:val="0072217B"/>
    <w:rsid w:val="00725996"/>
    <w:rsid w:val="00733742"/>
    <w:rsid w:val="00734A4D"/>
    <w:rsid w:val="00734CFA"/>
    <w:rsid w:val="00735AE8"/>
    <w:rsid w:val="00735B9A"/>
    <w:rsid w:val="00735EF9"/>
    <w:rsid w:val="00743E52"/>
    <w:rsid w:val="0074618B"/>
    <w:rsid w:val="00746C4E"/>
    <w:rsid w:val="007470B8"/>
    <w:rsid w:val="00751938"/>
    <w:rsid w:val="00753395"/>
    <w:rsid w:val="00754B0C"/>
    <w:rsid w:val="0075504E"/>
    <w:rsid w:val="007567CC"/>
    <w:rsid w:val="00756968"/>
    <w:rsid w:val="00760CB3"/>
    <w:rsid w:val="0077174D"/>
    <w:rsid w:val="007723E8"/>
    <w:rsid w:val="00773D3B"/>
    <w:rsid w:val="00774963"/>
    <w:rsid w:val="00776E54"/>
    <w:rsid w:val="00780B35"/>
    <w:rsid w:val="00781B77"/>
    <w:rsid w:val="00785798"/>
    <w:rsid w:val="00793A4B"/>
    <w:rsid w:val="00793D45"/>
    <w:rsid w:val="0079424A"/>
    <w:rsid w:val="00796D10"/>
    <w:rsid w:val="007971F8"/>
    <w:rsid w:val="0079767C"/>
    <w:rsid w:val="007A1535"/>
    <w:rsid w:val="007A3CE0"/>
    <w:rsid w:val="007A708D"/>
    <w:rsid w:val="007B6C8C"/>
    <w:rsid w:val="007B6CAA"/>
    <w:rsid w:val="007B700B"/>
    <w:rsid w:val="007B75E6"/>
    <w:rsid w:val="007C05EB"/>
    <w:rsid w:val="007C0D28"/>
    <w:rsid w:val="007C2CD2"/>
    <w:rsid w:val="007C44A9"/>
    <w:rsid w:val="007C7D79"/>
    <w:rsid w:val="007D0D09"/>
    <w:rsid w:val="007D1F05"/>
    <w:rsid w:val="007D58FA"/>
    <w:rsid w:val="007D621C"/>
    <w:rsid w:val="007D7801"/>
    <w:rsid w:val="007F3B95"/>
    <w:rsid w:val="007F6196"/>
    <w:rsid w:val="007F7A57"/>
    <w:rsid w:val="00800733"/>
    <w:rsid w:val="00802F55"/>
    <w:rsid w:val="0081397E"/>
    <w:rsid w:val="0081561A"/>
    <w:rsid w:val="008157CD"/>
    <w:rsid w:val="00816BBA"/>
    <w:rsid w:val="00820A8D"/>
    <w:rsid w:val="00820B0F"/>
    <w:rsid w:val="008251F8"/>
    <w:rsid w:val="008267A9"/>
    <w:rsid w:val="00832D90"/>
    <w:rsid w:val="008335AE"/>
    <w:rsid w:val="00846033"/>
    <w:rsid w:val="008508E0"/>
    <w:rsid w:val="00852730"/>
    <w:rsid w:val="00853ADE"/>
    <w:rsid w:val="0086120A"/>
    <w:rsid w:val="00862CA4"/>
    <w:rsid w:val="008640B8"/>
    <w:rsid w:val="00864F74"/>
    <w:rsid w:val="00871ECB"/>
    <w:rsid w:val="0087259E"/>
    <w:rsid w:val="008733E7"/>
    <w:rsid w:val="008854FE"/>
    <w:rsid w:val="00886831"/>
    <w:rsid w:val="00890293"/>
    <w:rsid w:val="00891876"/>
    <w:rsid w:val="00892161"/>
    <w:rsid w:val="008941A5"/>
    <w:rsid w:val="00894EBB"/>
    <w:rsid w:val="008968E4"/>
    <w:rsid w:val="008A064B"/>
    <w:rsid w:val="008A1D98"/>
    <w:rsid w:val="008A25D2"/>
    <w:rsid w:val="008A7AD4"/>
    <w:rsid w:val="008B1BE1"/>
    <w:rsid w:val="008B24CC"/>
    <w:rsid w:val="008B596A"/>
    <w:rsid w:val="008B5DB2"/>
    <w:rsid w:val="008C1D47"/>
    <w:rsid w:val="008D0894"/>
    <w:rsid w:val="008D1D79"/>
    <w:rsid w:val="008D73FF"/>
    <w:rsid w:val="008D75CD"/>
    <w:rsid w:val="008E025D"/>
    <w:rsid w:val="008E106A"/>
    <w:rsid w:val="008E2934"/>
    <w:rsid w:val="008E2DD1"/>
    <w:rsid w:val="008E39F5"/>
    <w:rsid w:val="008E5356"/>
    <w:rsid w:val="008F1645"/>
    <w:rsid w:val="008F1C23"/>
    <w:rsid w:val="008F5994"/>
    <w:rsid w:val="008F5F12"/>
    <w:rsid w:val="008F6053"/>
    <w:rsid w:val="008F6D62"/>
    <w:rsid w:val="00901DC4"/>
    <w:rsid w:val="00901F0B"/>
    <w:rsid w:val="009020FD"/>
    <w:rsid w:val="009024FB"/>
    <w:rsid w:val="00902C2E"/>
    <w:rsid w:val="00903DC0"/>
    <w:rsid w:val="009056B9"/>
    <w:rsid w:val="00907EDD"/>
    <w:rsid w:val="00912283"/>
    <w:rsid w:val="009127BA"/>
    <w:rsid w:val="00913067"/>
    <w:rsid w:val="009149D5"/>
    <w:rsid w:val="00920D73"/>
    <w:rsid w:val="00921FA4"/>
    <w:rsid w:val="00925E42"/>
    <w:rsid w:val="009263DA"/>
    <w:rsid w:val="00927AE2"/>
    <w:rsid w:val="009307C8"/>
    <w:rsid w:val="009309CF"/>
    <w:rsid w:val="00932551"/>
    <w:rsid w:val="00934E25"/>
    <w:rsid w:val="009363AD"/>
    <w:rsid w:val="00940AE3"/>
    <w:rsid w:val="00941CEF"/>
    <w:rsid w:val="00943835"/>
    <w:rsid w:val="00945D26"/>
    <w:rsid w:val="00946AEA"/>
    <w:rsid w:val="00946D79"/>
    <w:rsid w:val="00951637"/>
    <w:rsid w:val="00951B3E"/>
    <w:rsid w:val="009538B5"/>
    <w:rsid w:val="009575FB"/>
    <w:rsid w:val="00970321"/>
    <w:rsid w:val="009710B0"/>
    <w:rsid w:val="00974C02"/>
    <w:rsid w:val="0097564D"/>
    <w:rsid w:val="009762A1"/>
    <w:rsid w:val="00976831"/>
    <w:rsid w:val="00976A17"/>
    <w:rsid w:val="00977496"/>
    <w:rsid w:val="00983BC3"/>
    <w:rsid w:val="009845C0"/>
    <w:rsid w:val="00987EBA"/>
    <w:rsid w:val="0099679D"/>
    <w:rsid w:val="00996ABF"/>
    <w:rsid w:val="009A1181"/>
    <w:rsid w:val="009A7FE0"/>
    <w:rsid w:val="009B0842"/>
    <w:rsid w:val="009B40D4"/>
    <w:rsid w:val="009B7886"/>
    <w:rsid w:val="009C0906"/>
    <w:rsid w:val="009C2562"/>
    <w:rsid w:val="009C27C7"/>
    <w:rsid w:val="009C79A0"/>
    <w:rsid w:val="009D160E"/>
    <w:rsid w:val="009D1D7D"/>
    <w:rsid w:val="009D2E2C"/>
    <w:rsid w:val="009D3273"/>
    <w:rsid w:val="009D4135"/>
    <w:rsid w:val="009D4B52"/>
    <w:rsid w:val="009D53E4"/>
    <w:rsid w:val="009D7154"/>
    <w:rsid w:val="009E7703"/>
    <w:rsid w:val="009F1510"/>
    <w:rsid w:val="009F1DB7"/>
    <w:rsid w:val="009F67A9"/>
    <w:rsid w:val="009F7330"/>
    <w:rsid w:val="009F78C3"/>
    <w:rsid w:val="00A00347"/>
    <w:rsid w:val="00A00D3D"/>
    <w:rsid w:val="00A0155F"/>
    <w:rsid w:val="00A0385A"/>
    <w:rsid w:val="00A04C48"/>
    <w:rsid w:val="00A14826"/>
    <w:rsid w:val="00A207DF"/>
    <w:rsid w:val="00A2152F"/>
    <w:rsid w:val="00A23592"/>
    <w:rsid w:val="00A24353"/>
    <w:rsid w:val="00A2520D"/>
    <w:rsid w:val="00A258A7"/>
    <w:rsid w:val="00A26F54"/>
    <w:rsid w:val="00A27F24"/>
    <w:rsid w:val="00A31A5F"/>
    <w:rsid w:val="00A34743"/>
    <w:rsid w:val="00A34F86"/>
    <w:rsid w:val="00A35A3B"/>
    <w:rsid w:val="00A3775B"/>
    <w:rsid w:val="00A46955"/>
    <w:rsid w:val="00A469BC"/>
    <w:rsid w:val="00A46BF0"/>
    <w:rsid w:val="00A46CAC"/>
    <w:rsid w:val="00A52560"/>
    <w:rsid w:val="00A53BE6"/>
    <w:rsid w:val="00A5583F"/>
    <w:rsid w:val="00A573F4"/>
    <w:rsid w:val="00A61D5C"/>
    <w:rsid w:val="00A6297E"/>
    <w:rsid w:val="00A63D3B"/>
    <w:rsid w:val="00A67AB1"/>
    <w:rsid w:val="00A70E96"/>
    <w:rsid w:val="00A75502"/>
    <w:rsid w:val="00A75D20"/>
    <w:rsid w:val="00A805D8"/>
    <w:rsid w:val="00A81565"/>
    <w:rsid w:val="00A819FA"/>
    <w:rsid w:val="00A82EDF"/>
    <w:rsid w:val="00A833B9"/>
    <w:rsid w:val="00A949AA"/>
    <w:rsid w:val="00A96001"/>
    <w:rsid w:val="00AA0D3C"/>
    <w:rsid w:val="00AA155D"/>
    <w:rsid w:val="00AA1A1B"/>
    <w:rsid w:val="00AB0DEB"/>
    <w:rsid w:val="00AB0FE7"/>
    <w:rsid w:val="00AB3A74"/>
    <w:rsid w:val="00AB6E47"/>
    <w:rsid w:val="00AB7E11"/>
    <w:rsid w:val="00AC015A"/>
    <w:rsid w:val="00AC1AF3"/>
    <w:rsid w:val="00AC35C7"/>
    <w:rsid w:val="00AC3A08"/>
    <w:rsid w:val="00AC4875"/>
    <w:rsid w:val="00AC5076"/>
    <w:rsid w:val="00AC6F74"/>
    <w:rsid w:val="00AC7B7B"/>
    <w:rsid w:val="00AD0BE4"/>
    <w:rsid w:val="00AD1C2E"/>
    <w:rsid w:val="00AD3AAC"/>
    <w:rsid w:val="00AD3C96"/>
    <w:rsid w:val="00AD54E5"/>
    <w:rsid w:val="00AD605D"/>
    <w:rsid w:val="00AD6763"/>
    <w:rsid w:val="00AD6EAB"/>
    <w:rsid w:val="00AE24F1"/>
    <w:rsid w:val="00AE3D71"/>
    <w:rsid w:val="00AE4187"/>
    <w:rsid w:val="00AF7792"/>
    <w:rsid w:val="00AF7CDA"/>
    <w:rsid w:val="00B03760"/>
    <w:rsid w:val="00B072B0"/>
    <w:rsid w:val="00B07D73"/>
    <w:rsid w:val="00B11729"/>
    <w:rsid w:val="00B1301B"/>
    <w:rsid w:val="00B156D9"/>
    <w:rsid w:val="00B171FE"/>
    <w:rsid w:val="00B208D5"/>
    <w:rsid w:val="00B209D2"/>
    <w:rsid w:val="00B220FD"/>
    <w:rsid w:val="00B22528"/>
    <w:rsid w:val="00B2356E"/>
    <w:rsid w:val="00B27BF9"/>
    <w:rsid w:val="00B31374"/>
    <w:rsid w:val="00B33DC9"/>
    <w:rsid w:val="00B3763F"/>
    <w:rsid w:val="00B37B96"/>
    <w:rsid w:val="00B37F5C"/>
    <w:rsid w:val="00B40C8B"/>
    <w:rsid w:val="00B40FA9"/>
    <w:rsid w:val="00B419AC"/>
    <w:rsid w:val="00B43A22"/>
    <w:rsid w:val="00B467C0"/>
    <w:rsid w:val="00B5258E"/>
    <w:rsid w:val="00B56706"/>
    <w:rsid w:val="00B60EB3"/>
    <w:rsid w:val="00B632B8"/>
    <w:rsid w:val="00B63FAD"/>
    <w:rsid w:val="00B643AD"/>
    <w:rsid w:val="00B64E6C"/>
    <w:rsid w:val="00B655C1"/>
    <w:rsid w:val="00B72C80"/>
    <w:rsid w:val="00B73620"/>
    <w:rsid w:val="00B75C4F"/>
    <w:rsid w:val="00B77A46"/>
    <w:rsid w:val="00B77D47"/>
    <w:rsid w:val="00B81160"/>
    <w:rsid w:val="00B8254D"/>
    <w:rsid w:val="00B836FA"/>
    <w:rsid w:val="00B86CEB"/>
    <w:rsid w:val="00B909B1"/>
    <w:rsid w:val="00B93A14"/>
    <w:rsid w:val="00B95790"/>
    <w:rsid w:val="00B960AC"/>
    <w:rsid w:val="00BA649D"/>
    <w:rsid w:val="00BA770B"/>
    <w:rsid w:val="00BA7787"/>
    <w:rsid w:val="00BB0A94"/>
    <w:rsid w:val="00BB0DE0"/>
    <w:rsid w:val="00BB3F37"/>
    <w:rsid w:val="00BB7866"/>
    <w:rsid w:val="00BC2925"/>
    <w:rsid w:val="00BC2EE7"/>
    <w:rsid w:val="00BC376D"/>
    <w:rsid w:val="00BC426B"/>
    <w:rsid w:val="00BD061D"/>
    <w:rsid w:val="00BD31E1"/>
    <w:rsid w:val="00BE0594"/>
    <w:rsid w:val="00BE0661"/>
    <w:rsid w:val="00BE26AF"/>
    <w:rsid w:val="00BE2DB0"/>
    <w:rsid w:val="00BE4EEA"/>
    <w:rsid w:val="00BE6E2A"/>
    <w:rsid w:val="00BF28E4"/>
    <w:rsid w:val="00BF5B1C"/>
    <w:rsid w:val="00C00454"/>
    <w:rsid w:val="00C02067"/>
    <w:rsid w:val="00C02526"/>
    <w:rsid w:val="00C04DFB"/>
    <w:rsid w:val="00C060DA"/>
    <w:rsid w:val="00C06645"/>
    <w:rsid w:val="00C15F1D"/>
    <w:rsid w:val="00C170C6"/>
    <w:rsid w:val="00C209AF"/>
    <w:rsid w:val="00C267D0"/>
    <w:rsid w:val="00C36572"/>
    <w:rsid w:val="00C50AD6"/>
    <w:rsid w:val="00C54567"/>
    <w:rsid w:val="00C54C89"/>
    <w:rsid w:val="00C573C0"/>
    <w:rsid w:val="00C578B5"/>
    <w:rsid w:val="00C62736"/>
    <w:rsid w:val="00C63298"/>
    <w:rsid w:val="00C65D91"/>
    <w:rsid w:val="00C71FE8"/>
    <w:rsid w:val="00C7265D"/>
    <w:rsid w:val="00C766F3"/>
    <w:rsid w:val="00C768EB"/>
    <w:rsid w:val="00C76C8A"/>
    <w:rsid w:val="00C836E8"/>
    <w:rsid w:val="00C85A68"/>
    <w:rsid w:val="00C87F87"/>
    <w:rsid w:val="00C90CEA"/>
    <w:rsid w:val="00C92847"/>
    <w:rsid w:val="00CB1F8E"/>
    <w:rsid w:val="00CC27EB"/>
    <w:rsid w:val="00CC2C1F"/>
    <w:rsid w:val="00CC4DA9"/>
    <w:rsid w:val="00CC7107"/>
    <w:rsid w:val="00CD15D6"/>
    <w:rsid w:val="00CD4786"/>
    <w:rsid w:val="00CD7750"/>
    <w:rsid w:val="00CD7E56"/>
    <w:rsid w:val="00CE5378"/>
    <w:rsid w:val="00CE6EFB"/>
    <w:rsid w:val="00CE714D"/>
    <w:rsid w:val="00CF02BC"/>
    <w:rsid w:val="00CF1542"/>
    <w:rsid w:val="00CF28A3"/>
    <w:rsid w:val="00CF3B42"/>
    <w:rsid w:val="00CF4E20"/>
    <w:rsid w:val="00CF6237"/>
    <w:rsid w:val="00D02C76"/>
    <w:rsid w:val="00D038BE"/>
    <w:rsid w:val="00D0458B"/>
    <w:rsid w:val="00D10DCE"/>
    <w:rsid w:val="00D13A1A"/>
    <w:rsid w:val="00D16322"/>
    <w:rsid w:val="00D1796D"/>
    <w:rsid w:val="00D22EA6"/>
    <w:rsid w:val="00D23671"/>
    <w:rsid w:val="00D246D5"/>
    <w:rsid w:val="00D25C69"/>
    <w:rsid w:val="00D26368"/>
    <w:rsid w:val="00D31A25"/>
    <w:rsid w:val="00D31D7A"/>
    <w:rsid w:val="00D32FC7"/>
    <w:rsid w:val="00D34A5F"/>
    <w:rsid w:val="00D43E8B"/>
    <w:rsid w:val="00D50275"/>
    <w:rsid w:val="00D572C8"/>
    <w:rsid w:val="00D57656"/>
    <w:rsid w:val="00D6153A"/>
    <w:rsid w:val="00D65A17"/>
    <w:rsid w:val="00D6765F"/>
    <w:rsid w:val="00D74678"/>
    <w:rsid w:val="00D76D36"/>
    <w:rsid w:val="00D8095C"/>
    <w:rsid w:val="00D80E3C"/>
    <w:rsid w:val="00D8201A"/>
    <w:rsid w:val="00D834C4"/>
    <w:rsid w:val="00D91661"/>
    <w:rsid w:val="00D9179D"/>
    <w:rsid w:val="00D92209"/>
    <w:rsid w:val="00D969D3"/>
    <w:rsid w:val="00D96BAE"/>
    <w:rsid w:val="00D978E3"/>
    <w:rsid w:val="00DA55B7"/>
    <w:rsid w:val="00DB0776"/>
    <w:rsid w:val="00DB11E6"/>
    <w:rsid w:val="00DB3897"/>
    <w:rsid w:val="00DB48A5"/>
    <w:rsid w:val="00DC0DE9"/>
    <w:rsid w:val="00DC40EE"/>
    <w:rsid w:val="00DC419F"/>
    <w:rsid w:val="00DC53EC"/>
    <w:rsid w:val="00DC5A1F"/>
    <w:rsid w:val="00DC7F77"/>
    <w:rsid w:val="00DD10D8"/>
    <w:rsid w:val="00DD2295"/>
    <w:rsid w:val="00DD3569"/>
    <w:rsid w:val="00DD3A21"/>
    <w:rsid w:val="00DD3E79"/>
    <w:rsid w:val="00DD3E85"/>
    <w:rsid w:val="00DD3FB1"/>
    <w:rsid w:val="00DD41D0"/>
    <w:rsid w:val="00DD4A9C"/>
    <w:rsid w:val="00DD50B1"/>
    <w:rsid w:val="00DE41B6"/>
    <w:rsid w:val="00DE71C1"/>
    <w:rsid w:val="00DF2530"/>
    <w:rsid w:val="00DF6A54"/>
    <w:rsid w:val="00E03C23"/>
    <w:rsid w:val="00E04B80"/>
    <w:rsid w:val="00E07328"/>
    <w:rsid w:val="00E14239"/>
    <w:rsid w:val="00E14918"/>
    <w:rsid w:val="00E201C3"/>
    <w:rsid w:val="00E244E0"/>
    <w:rsid w:val="00E24F53"/>
    <w:rsid w:val="00E26229"/>
    <w:rsid w:val="00E30470"/>
    <w:rsid w:val="00E30685"/>
    <w:rsid w:val="00E3091B"/>
    <w:rsid w:val="00E31E63"/>
    <w:rsid w:val="00E34B1C"/>
    <w:rsid w:val="00E44341"/>
    <w:rsid w:val="00E4446D"/>
    <w:rsid w:val="00E454BC"/>
    <w:rsid w:val="00E47033"/>
    <w:rsid w:val="00E5504D"/>
    <w:rsid w:val="00E55549"/>
    <w:rsid w:val="00E56D86"/>
    <w:rsid w:val="00E6287D"/>
    <w:rsid w:val="00E76750"/>
    <w:rsid w:val="00E81A08"/>
    <w:rsid w:val="00E8436D"/>
    <w:rsid w:val="00E858E9"/>
    <w:rsid w:val="00E871C2"/>
    <w:rsid w:val="00E91DC1"/>
    <w:rsid w:val="00E91ED6"/>
    <w:rsid w:val="00E9251E"/>
    <w:rsid w:val="00EB04CF"/>
    <w:rsid w:val="00EB0C8F"/>
    <w:rsid w:val="00EB0DB5"/>
    <w:rsid w:val="00EC3457"/>
    <w:rsid w:val="00EC480F"/>
    <w:rsid w:val="00EC64F5"/>
    <w:rsid w:val="00ED075A"/>
    <w:rsid w:val="00ED2943"/>
    <w:rsid w:val="00ED3A9F"/>
    <w:rsid w:val="00ED4964"/>
    <w:rsid w:val="00ED4DDA"/>
    <w:rsid w:val="00ED6E8F"/>
    <w:rsid w:val="00EE04D1"/>
    <w:rsid w:val="00EE7E20"/>
    <w:rsid w:val="00EF0ECC"/>
    <w:rsid w:val="00EF298D"/>
    <w:rsid w:val="00EF2E0E"/>
    <w:rsid w:val="00EF76A4"/>
    <w:rsid w:val="00EF796F"/>
    <w:rsid w:val="00EF7B33"/>
    <w:rsid w:val="00F022F9"/>
    <w:rsid w:val="00F10DBE"/>
    <w:rsid w:val="00F133B4"/>
    <w:rsid w:val="00F14A46"/>
    <w:rsid w:val="00F151B7"/>
    <w:rsid w:val="00F25F30"/>
    <w:rsid w:val="00F310D5"/>
    <w:rsid w:val="00F33BDB"/>
    <w:rsid w:val="00F37055"/>
    <w:rsid w:val="00F37EA6"/>
    <w:rsid w:val="00F40EF2"/>
    <w:rsid w:val="00F419DD"/>
    <w:rsid w:val="00F4435B"/>
    <w:rsid w:val="00F51C85"/>
    <w:rsid w:val="00F54673"/>
    <w:rsid w:val="00F55F2E"/>
    <w:rsid w:val="00F62E5C"/>
    <w:rsid w:val="00F66607"/>
    <w:rsid w:val="00F66BCB"/>
    <w:rsid w:val="00F671A1"/>
    <w:rsid w:val="00F6720C"/>
    <w:rsid w:val="00F70631"/>
    <w:rsid w:val="00F7572D"/>
    <w:rsid w:val="00F80B2B"/>
    <w:rsid w:val="00F81AD0"/>
    <w:rsid w:val="00F832BB"/>
    <w:rsid w:val="00F84E91"/>
    <w:rsid w:val="00F87307"/>
    <w:rsid w:val="00F9346C"/>
    <w:rsid w:val="00F93706"/>
    <w:rsid w:val="00FA0331"/>
    <w:rsid w:val="00FA04A4"/>
    <w:rsid w:val="00FA07B7"/>
    <w:rsid w:val="00FA2B53"/>
    <w:rsid w:val="00FA4A2A"/>
    <w:rsid w:val="00FA6FFE"/>
    <w:rsid w:val="00FA74DC"/>
    <w:rsid w:val="00FC0533"/>
    <w:rsid w:val="00FC11D5"/>
    <w:rsid w:val="00FC428B"/>
    <w:rsid w:val="00FC4679"/>
    <w:rsid w:val="00FD2ACA"/>
    <w:rsid w:val="00FD2F0A"/>
    <w:rsid w:val="00FD3863"/>
    <w:rsid w:val="00FD473B"/>
    <w:rsid w:val="00FD5AC0"/>
    <w:rsid w:val="00FE0319"/>
    <w:rsid w:val="00FE172B"/>
    <w:rsid w:val="00FE54FF"/>
    <w:rsid w:val="00FE5556"/>
    <w:rsid w:val="00FE655F"/>
    <w:rsid w:val="00FF07A0"/>
    <w:rsid w:val="00FF2B5E"/>
    <w:rsid w:val="00FF2D74"/>
    <w:rsid w:val="00FF7016"/>
    <w:rsid w:val="00FF784B"/>
    <w:rsid w:val="013D4B60"/>
    <w:rsid w:val="01D275D4"/>
    <w:rsid w:val="01DB7ED5"/>
    <w:rsid w:val="01FB0577"/>
    <w:rsid w:val="025739FF"/>
    <w:rsid w:val="02BC1AB4"/>
    <w:rsid w:val="032F2286"/>
    <w:rsid w:val="034F2928"/>
    <w:rsid w:val="047563BF"/>
    <w:rsid w:val="05353DA0"/>
    <w:rsid w:val="0548495D"/>
    <w:rsid w:val="06075276"/>
    <w:rsid w:val="06456265"/>
    <w:rsid w:val="067D3DF4"/>
    <w:rsid w:val="06A50AB1"/>
    <w:rsid w:val="06B75327"/>
    <w:rsid w:val="06DF0467"/>
    <w:rsid w:val="07141D28"/>
    <w:rsid w:val="07585D35"/>
    <w:rsid w:val="075A7AEE"/>
    <w:rsid w:val="0764271A"/>
    <w:rsid w:val="07BB058C"/>
    <w:rsid w:val="097C1F9D"/>
    <w:rsid w:val="0A13403D"/>
    <w:rsid w:val="0A232419"/>
    <w:rsid w:val="0A2A19F9"/>
    <w:rsid w:val="0A9B46A5"/>
    <w:rsid w:val="0AC736EC"/>
    <w:rsid w:val="0B2F41F4"/>
    <w:rsid w:val="0B4765DB"/>
    <w:rsid w:val="0B705B32"/>
    <w:rsid w:val="0C6A2581"/>
    <w:rsid w:val="0C8353F1"/>
    <w:rsid w:val="0C9D4705"/>
    <w:rsid w:val="0CA27F6D"/>
    <w:rsid w:val="0D0E5602"/>
    <w:rsid w:val="0DA86CBF"/>
    <w:rsid w:val="0DD71E98"/>
    <w:rsid w:val="0E191837"/>
    <w:rsid w:val="0E415563"/>
    <w:rsid w:val="0E8F4578"/>
    <w:rsid w:val="0EFC26D1"/>
    <w:rsid w:val="0F00541F"/>
    <w:rsid w:val="0F532D2B"/>
    <w:rsid w:val="0F8737DE"/>
    <w:rsid w:val="0F9A317D"/>
    <w:rsid w:val="10540A9B"/>
    <w:rsid w:val="10EA1EE2"/>
    <w:rsid w:val="10EA72E2"/>
    <w:rsid w:val="110E3A9D"/>
    <w:rsid w:val="11374434"/>
    <w:rsid w:val="122E4051"/>
    <w:rsid w:val="1235718D"/>
    <w:rsid w:val="126A32DB"/>
    <w:rsid w:val="12F82140"/>
    <w:rsid w:val="140B464A"/>
    <w:rsid w:val="141A7667"/>
    <w:rsid w:val="1459605D"/>
    <w:rsid w:val="14CE4563"/>
    <w:rsid w:val="158346B4"/>
    <w:rsid w:val="15C56DB2"/>
    <w:rsid w:val="15CE3B81"/>
    <w:rsid w:val="15F712F5"/>
    <w:rsid w:val="165A3666"/>
    <w:rsid w:val="16D43419"/>
    <w:rsid w:val="16E63E88"/>
    <w:rsid w:val="175E0F34"/>
    <w:rsid w:val="178A1D29"/>
    <w:rsid w:val="179D1A5D"/>
    <w:rsid w:val="17C074F9"/>
    <w:rsid w:val="17FB6783"/>
    <w:rsid w:val="18100480"/>
    <w:rsid w:val="18285D67"/>
    <w:rsid w:val="184376D1"/>
    <w:rsid w:val="185365BF"/>
    <w:rsid w:val="18D07E2B"/>
    <w:rsid w:val="18FA4C8D"/>
    <w:rsid w:val="19A21F94"/>
    <w:rsid w:val="1ABD41C4"/>
    <w:rsid w:val="1DC85359"/>
    <w:rsid w:val="1F3F5AEF"/>
    <w:rsid w:val="20511636"/>
    <w:rsid w:val="206F1DE6"/>
    <w:rsid w:val="20765541"/>
    <w:rsid w:val="213571AA"/>
    <w:rsid w:val="216C2354"/>
    <w:rsid w:val="218C0F9F"/>
    <w:rsid w:val="22382B76"/>
    <w:rsid w:val="22547ECA"/>
    <w:rsid w:val="22C2681B"/>
    <w:rsid w:val="22D45E02"/>
    <w:rsid w:val="235A7FBB"/>
    <w:rsid w:val="235C6C70"/>
    <w:rsid w:val="23847F75"/>
    <w:rsid w:val="23906919"/>
    <w:rsid w:val="23A22B70"/>
    <w:rsid w:val="24BB1774"/>
    <w:rsid w:val="24BC4B5A"/>
    <w:rsid w:val="24C22B02"/>
    <w:rsid w:val="258318D8"/>
    <w:rsid w:val="25B34B41"/>
    <w:rsid w:val="25BF7042"/>
    <w:rsid w:val="25E97374"/>
    <w:rsid w:val="26211AAB"/>
    <w:rsid w:val="26395046"/>
    <w:rsid w:val="266B6484"/>
    <w:rsid w:val="26881B2A"/>
    <w:rsid w:val="274E0EEF"/>
    <w:rsid w:val="27A91D58"/>
    <w:rsid w:val="27BB245E"/>
    <w:rsid w:val="28553C8E"/>
    <w:rsid w:val="28C3509B"/>
    <w:rsid w:val="28D70B46"/>
    <w:rsid w:val="29B50E88"/>
    <w:rsid w:val="2A866380"/>
    <w:rsid w:val="2AD40946"/>
    <w:rsid w:val="2B222920"/>
    <w:rsid w:val="2BE9306B"/>
    <w:rsid w:val="2CA3146B"/>
    <w:rsid w:val="2CCD4917"/>
    <w:rsid w:val="2D205A01"/>
    <w:rsid w:val="2D5B1D46"/>
    <w:rsid w:val="2D647324"/>
    <w:rsid w:val="2D986AF6"/>
    <w:rsid w:val="2E0028ED"/>
    <w:rsid w:val="2E63500A"/>
    <w:rsid w:val="2E6609A2"/>
    <w:rsid w:val="2E6966E5"/>
    <w:rsid w:val="2F193C67"/>
    <w:rsid w:val="2F6F095C"/>
    <w:rsid w:val="2F8867B5"/>
    <w:rsid w:val="30230E9C"/>
    <w:rsid w:val="308415B4"/>
    <w:rsid w:val="30CB0F91"/>
    <w:rsid w:val="30D77936"/>
    <w:rsid w:val="31175F84"/>
    <w:rsid w:val="311F2693"/>
    <w:rsid w:val="31570A76"/>
    <w:rsid w:val="3216623C"/>
    <w:rsid w:val="32CC7242"/>
    <w:rsid w:val="336D115E"/>
    <w:rsid w:val="340F388A"/>
    <w:rsid w:val="36347BEF"/>
    <w:rsid w:val="365B4B65"/>
    <w:rsid w:val="37197DF1"/>
    <w:rsid w:val="372572EC"/>
    <w:rsid w:val="372B2789"/>
    <w:rsid w:val="37E13657"/>
    <w:rsid w:val="3814146F"/>
    <w:rsid w:val="38431D54"/>
    <w:rsid w:val="391F702D"/>
    <w:rsid w:val="394A03B1"/>
    <w:rsid w:val="395A55A8"/>
    <w:rsid w:val="39D23390"/>
    <w:rsid w:val="3AE64A80"/>
    <w:rsid w:val="3B0357CB"/>
    <w:rsid w:val="3B295232"/>
    <w:rsid w:val="3BB56AC5"/>
    <w:rsid w:val="3BB93D7D"/>
    <w:rsid w:val="3BF03FA1"/>
    <w:rsid w:val="3C1E0B0E"/>
    <w:rsid w:val="3C3C71E7"/>
    <w:rsid w:val="3C722C08"/>
    <w:rsid w:val="3C9708C1"/>
    <w:rsid w:val="3D3879AE"/>
    <w:rsid w:val="3D556891"/>
    <w:rsid w:val="3D791D75"/>
    <w:rsid w:val="3DC56607"/>
    <w:rsid w:val="3E0B6E71"/>
    <w:rsid w:val="3E0D35E4"/>
    <w:rsid w:val="3E7E3AE6"/>
    <w:rsid w:val="3ECA0ADA"/>
    <w:rsid w:val="405A7C3B"/>
    <w:rsid w:val="40A13ABC"/>
    <w:rsid w:val="40AB762D"/>
    <w:rsid w:val="41110C42"/>
    <w:rsid w:val="42D016E1"/>
    <w:rsid w:val="42ED123B"/>
    <w:rsid w:val="42F779C3"/>
    <w:rsid w:val="431F37EA"/>
    <w:rsid w:val="435E582A"/>
    <w:rsid w:val="440700DA"/>
    <w:rsid w:val="45101210"/>
    <w:rsid w:val="46F03F96"/>
    <w:rsid w:val="47176886"/>
    <w:rsid w:val="47C36A0E"/>
    <w:rsid w:val="484336AB"/>
    <w:rsid w:val="48804725"/>
    <w:rsid w:val="4957740E"/>
    <w:rsid w:val="4A394D65"/>
    <w:rsid w:val="4A413C1A"/>
    <w:rsid w:val="4AF07B1A"/>
    <w:rsid w:val="4C621195"/>
    <w:rsid w:val="4C6B4F7E"/>
    <w:rsid w:val="4D2B4E39"/>
    <w:rsid w:val="4D834C75"/>
    <w:rsid w:val="4D901140"/>
    <w:rsid w:val="4DE66FB2"/>
    <w:rsid w:val="4E5C7274"/>
    <w:rsid w:val="4EE5726A"/>
    <w:rsid w:val="4F400944"/>
    <w:rsid w:val="4F462B19"/>
    <w:rsid w:val="4F6F20D3"/>
    <w:rsid w:val="4FC9093A"/>
    <w:rsid w:val="4FC926E8"/>
    <w:rsid w:val="504D50C7"/>
    <w:rsid w:val="50FD6AED"/>
    <w:rsid w:val="51180B8E"/>
    <w:rsid w:val="51BD44CE"/>
    <w:rsid w:val="52515F24"/>
    <w:rsid w:val="52554706"/>
    <w:rsid w:val="52884ADC"/>
    <w:rsid w:val="52A6183C"/>
    <w:rsid w:val="530F6FAB"/>
    <w:rsid w:val="536A2433"/>
    <w:rsid w:val="54D562EB"/>
    <w:rsid w:val="5507618C"/>
    <w:rsid w:val="554760F5"/>
    <w:rsid w:val="556C2493"/>
    <w:rsid w:val="55AC288F"/>
    <w:rsid w:val="56083D8A"/>
    <w:rsid w:val="561362A3"/>
    <w:rsid w:val="574134AB"/>
    <w:rsid w:val="57654230"/>
    <w:rsid w:val="57AE0B41"/>
    <w:rsid w:val="57FC1A7A"/>
    <w:rsid w:val="58C1672F"/>
    <w:rsid w:val="59282B75"/>
    <w:rsid w:val="59576FB6"/>
    <w:rsid w:val="597C6A1D"/>
    <w:rsid w:val="59BB7545"/>
    <w:rsid w:val="5A867B53"/>
    <w:rsid w:val="5AB83A84"/>
    <w:rsid w:val="5B16743A"/>
    <w:rsid w:val="5BB95D06"/>
    <w:rsid w:val="5C4C1E77"/>
    <w:rsid w:val="5C71038F"/>
    <w:rsid w:val="5D7C348F"/>
    <w:rsid w:val="5E221F95"/>
    <w:rsid w:val="5EEE3F19"/>
    <w:rsid w:val="5EF3152F"/>
    <w:rsid w:val="5F98377A"/>
    <w:rsid w:val="5FCE4BE3"/>
    <w:rsid w:val="5FE12C6B"/>
    <w:rsid w:val="60911000"/>
    <w:rsid w:val="60B847DE"/>
    <w:rsid w:val="61583045"/>
    <w:rsid w:val="628C6888"/>
    <w:rsid w:val="631D4DCC"/>
    <w:rsid w:val="63C77D26"/>
    <w:rsid w:val="63E37F00"/>
    <w:rsid w:val="647C1FC7"/>
    <w:rsid w:val="64AA2690"/>
    <w:rsid w:val="64BE7818"/>
    <w:rsid w:val="658E3D60"/>
    <w:rsid w:val="659C2FB5"/>
    <w:rsid w:val="661701F9"/>
    <w:rsid w:val="672F3320"/>
    <w:rsid w:val="678673E4"/>
    <w:rsid w:val="69136471"/>
    <w:rsid w:val="696D51D1"/>
    <w:rsid w:val="6ADC37BF"/>
    <w:rsid w:val="6BDB5825"/>
    <w:rsid w:val="6C3C1BEC"/>
    <w:rsid w:val="6CEA57C2"/>
    <w:rsid w:val="6DF36E56"/>
    <w:rsid w:val="6E41661F"/>
    <w:rsid w:val="6E921E64"/>
    <w:rsid w:val="6F0D2199"/>
    <w:rsid w:val="702951B3"/>
    <w:rsid w:val="70A95EF1"/>
    <w:rsid w:val="70C26FB3"/>
    <w:rsid w:val="70CE5958"/>
    <w:rsid w:val="70DC1E23"/>
    <w:rsid w:val="70F31FF2"/>
    <w:rsid w:val="7130351D"/>
    <w:rsid w:val="71324139"/>
    <w:rsid w:val="719C18CD"/>
    <w:rsid w:val="729A3D44"/>
    <w:rsid w:val="7318110C"/>
    <w:rsid w:val="73D2750D"/>
    <w:rsid w:val="74046259"/>
    <w:rsid w:val="743106D8"/>
    <w:rsid w:val="745D771F"/>
    <w:rsid w:val="74A215D5"/>
    <w:rsid w:val="74B82BA7"/>
    <w:rsid w:val="75622B13"/>
    <w:rsid w:val="75A55A90"/>
    <w:rsid w:val="75C86E1A"/>
    <w:rsid w:val="75CF01A8"/>
    <w:rsid w:val="76724FD8"/>
    <w:rsid w:val="775546DD"/>
    <w:rsid w:val="78211F6B"/>
    <w:rsid w:val="78670B6C"/>
    <w:rsid w:val="786C7F30"/>
    <w:rsid w:val="78731841"/>
    <w:rsid w:val="78922979"/>
    <w:rsid w:val="78F16688"/>
    <w:rsid w:val="79CA03F5"/>
    <w:rsid w:val="7AD3663F"/>
    <w:rsid w:val="7B000E04"/>
    <w:rsid w:val="7BD5403F"/>
    <w:rsid w:val="7BD83B2F"/>
    <w:rsid w:val="7C2E6962"/>
    <w:rsid w:val="7C727ADF"/>
    <w:rsid w:val="7CC61BD6"/>
    <w:rsid w:val="7CDE6F23"/>
    <w:rsid w:val="7D1B1F25"/>
    <w:rsid w:val="7E7800A2"/>
    <w:rsid w:val="7ED4682F"/>
    <w:rsid w:val="7F1C37E9"/>
    <w:rsid w:val="7F5E434B"/>
    <w:rsid w:val="7FC70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0"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index 5"/>
    <w:basedOn w:val="1"/>
    <w:next w:val="1"/>
    <w:semiHidden/>
    <w:qFormat/>
    <w:uiPriority w:val="0"/>
    <w:pPr>
      <w:ind w:left="800" w:leftChars="800"/>
    </w:pPr>
  </w:style>
  <w:style w:type="paragraph" w:styleId="4">
    <w:name w:val="Balloon Text"/>
    <w:basedOn w:val="1"/>
    <w:link w:val="16"/>
    <w:qFormat/>
    <w:uiPriority w:val="0"/>
    <w:rPr>
      <w:sz w:val="18"/>
      <w:szCs w:val="18"/>
    </w:rPr>
  </w:style>
  <w:style w:type="paragraph" w:styleId="5">
    <w:name w:val="footer"/>
    <w:link w:val="15"/>
    <w:qFormat/>
    <w:uiPriority w:val="99"/>
    <w:pPr>
      <w:snapToGrid w:val="0"/>
      <w:spacing w:after="160" w:line="278" w:lineRule="auto"/>
    </w:pPr>
    <w:rPr>
      <w:rFonts w:asciiTheme="minorHAnsi" w:hAnsiTheme="minorHAnsi" w:eastAsiaTheme="minorEastAsia" w:cstheme="minorBidi"/>
      <w:sz w:val="18"/>
      <w:szCs w:val="18"/>
      <w:lang w:val="en-US" w:eastAsia="zh-CN" w:bidi="ar-SA"/>
    </w:rPr>
  </w:style>
  <w:style w:type="paragraph" w:styleId="6">
    <w:name w:val="header"/>
    <w:link w:val="14"/>
    <w:qFormat/>
    <w:uiPriority w:val="0"/>
    <w:pPr>
      <w:pBdr>
        <w:bottom w:val="single" w:color="auto" w:sz="6" w:space="1"/>
      </w:pBdr>
      <w:snapToGrid w:val="0"/>
      <w:spacing w:after="160" w:line="278" w:lineRule="auto"/>
      <w:jc w:val="center"/>
    </w:pPr>
    <w:rPr>
      <w:rFonts w:asciiTheme="minorHAnsi" w:hAnsiTheme="minorHAnsi" w:eastAsiaTheme="minorEastAsia" w:cstheme="minorBidi"/>
      <w:sz w:val="18"/>
      <w:szCs w:val="18"/>
      <w:lang w:val="en-US" w:eastAsia="zh-CN" w:bidi="ar-SA"/>
    </w:rPr>
  </w:style>
  <w:style w:type="character" w:styleId="9">
    <w:name w:val="Strong"/>
    <w:basedOn w:val="8"/>
    <w:qFormat/>
    <w:uiPriority w:val="0"/>
    <w:rPr>
      <w:b/>
    </w:rPr>
  </w:style>
  <w:style w:type="paragraph" w:customStyle="1" w:styleId="10">
    <w:name w:val="Default"/>
    <w:next w:val="3"/>
    <w:qFormat/>
    <w:uiPriority w:val="0"/>
    <w:pPr>
      <w:widowControl w:val="0"/>
      <w:autoSpaceDE w:val="0"/>
      <w:autoSpaceDN w:val="0"/>
      <w:adjustRightInd w:val="0"/>
    </w:pPr>
    <w:rPr>
      <w:rFonts w:ascii="Calibri" w:hAnsi="Calibri" w:eastAsia="宋体" w:cs="Times New Roman"/>
      <w:color w:val="000000"/>
      <w:kern w:val="2"/>
      <w:sz w:val="24"/>
      <w:szCs w:val="22"/>
      <w:lang w:val="en-US" w:eastAsia="zh-CN" w:bidi="ar-SA"/>
    </w:rPr>
  </w:style>
  <w:style w:type="paragraph" w:styleId="11">
    <w:name w:val="List Paragraph"/>
    <w:qFormat/>
    <w:uiPriority w:val="99"/>
    <w:pPr>
      <w:spacing w:after="160" w:line="278" w:lineRule="auto"/>
      <w:ind w:firstLine="420" w:firstLineChars="200"/>
    </w:pPr>
    <w:rPr>
      <w:rFonts w:asciiTheme="minorHAnsi" w:hAnsiTheme="minorHAnsi" w:eastAsiaTheme="minorEastAsia" w:cstheme="minorBidi"/>
      <w:lang w:val="en-US" w:eastAsia="zh-CN" w:bidi="ar-SA"/>
    </w:rPr>
  </w:style>
  <w:style w:type="character" w:customStyle="1" w:styleId="12">
    <w:name w:val="页眉 Char"/>
    <w:basedOn w:val="8"/>
    <w:qFormat/>
    <w:uiPriority w:val="0"/>
    <w:rPr>
      <w:kern w:val="2"/>
      <w:sz w:val="18"/>
      <w:szCs w:val="18"/>
    </w:rPr>
  </w:style>
  <w:style w:type="character" w:customStyle="1" w:styleId="13">
    <w:name w:val="页脚 Char"/>
    <w:basedOn w:val="8"/>
    <w:qFormat/>
    <w:uiPriority w:val="99"/>
    <w:rPr>
      <w:kern w:val="2"/>
      <w:sz w:val="18"/>
      <w:szCs w:val="18"/>
    </w:rPr>
  </w:style>
  <w:style w:type="character" w:customStyle="1" w:styleId="14">
    <w:name w:val="页眉 字符"/>
    <w:link w:val="6"/>
    <w:qFormat/>
    <w:uiPriority w:val="0"/>
    <w:rPr>
      <w:kern w:val="2"/>
      <w:sz w:val="18"/>
      <w:szCs w:val="18"/>
    </w:rPr>
  </w:style>
  <w:style w:type="character" w:customStyle="1" w:styleId="15">
    <w:name w:val="页脚 字符"/>
    <w:link w:val="5"/>
    <w:qFormat/>
    <w:uiPriority w:val="99"/>
    <w:rPr>
      <w:kern w:val="2"/>
      <w:sz w:val="18"/>
      <w:szCs w:val="18"/>
    </w:rPr>
  </w:style>
  <w:style w:type="character" w:customStyle="1" w:styleId="16">
    <w:name w:val="批注框文本 字符"/>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48DAACF-FEA5-4D34-BE71-A4740478E3A3}">
  <ds:schemaRefs/>
</ds:datastoreItem>
</file>

<file path=docProps/app.xml><?xml version="1.0" encoding="utf-8"?>
<Properties xmlns="http://schemas.openxmlformats.org/officeDocument/2006/extended-properties" xmlns:vt="http://schemas.openxmlformats.org/officeDocument/2006/docPropsVTypes">
  <Template>Normal</Template>
  <Pages>7</Pages>
  <Words>2220</Words>
  <Characters>2554</Characters>
  <Lines>17</Lines>
  <Paragraphs>42</Paragraphs>
  <TotalTime>3620</TotalTime>
  <ScaleCrop>false</ScaleCrop>
  <LinksUpToDate>false</LinksUpToDate>
  <CharactersWithSpaces>2560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2024-08-05T03:37:00Z</dcterms:created>
  <dc:creator>Administrator</dc:creator>
  <cp:lastModifiedBy>2284267064@qq.com</cp:lastModifiedBy>
  <cp:lastPrinted>2025-08-06T07:23:00Z</cp:lastPrinted>
  <dcterms:modified xsi:type="dcterms:W3CDTF">2025-08-12T02:39:01Z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90F3BAF7461241C2932180FB0714411F_12</vt:lpwstr>
  </property>
  <property fmtid="{D5CDD505-2E9C-101B-9397-08002B2CF9AE}" pid="4" name="KSOTemplateDocerSaveRecord">
    <vt:lpwstr>eyJoZGlkIjoiMWM3MTk1NTE5MTc0NDc1OTRiY2YzMjZkM2QwZDU5YTYiLCJ1c2VySWQiOiIxNTczNjA0NDIifQ==</vt:lpwstr>
  </property>
</Properties>
</file>