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6" w:lineRule="exact"/>
        <w:jc w:val="center"/>
        <w:rPr>
          <w:rFonts w:ascii="Times New Roman" w:hAnsi="Times New Roman" w:eastAsia="方正小标宋简体" w:cs="Times New Roman"/>
          <w:sz w:val="32"/>
          <w:szCs w:val="32"/>
        </w:rPr>
      </w:pPr>
    </w:p>
    <w:p>
      <w:pPr>
        <w:spacing w:line="576" w:lineRule="exact"/>
        <w:jc w:val="center"/>
        <w:rPr>
          <w:rFonts w:hint="eastAsia" w:ascii="方正小标宋简体" w:hAnsi="华文中宋" w:eastAsia="方正小标宋简体" w:cs="Times New Roman"/>
          <w:b/>
          <w:sz w:val="44"/>
          <w:szCs w:val="44"/>
        </w:rPr>
      </w:pPr>
      <w:r>
        <w:rPr>
          <w:rFonts w:hint="eastAsia" w:ascii="方正小标宋简体" w:hAnsi="华文中宋" w:eastAsia="方正小标宋简体" w:cs="Times New Roman"/>
          <w:b/>
          <w:sz w:val="44"/>
          <w:szCs w:val="44"/>
        </w:rPr>
        <w:t>长春市南关区人民政府关于</w:t>
      </w:r>
      <w:r>
        <w:rPr>
          <w:rFonts w:hint="eastAsia" w:ascii="方正小标宋简体" w:hAnsi="Times New Roman" w:eastAsia="方正小标宋简体" w:cs="Times New Roman"/>
          <w:b/>
          <w:sz w:val="44"/>
          <w:szCs w:val="44"/>
        </w:rPr>
        <w:t>2023</w:t>
      </w:r>
      <w:r>
        <w:rPr>
          <w:rFonts w:hint="eastAsia" w:ascii="方正小标宋简体" w:hAnsi="华文中宋" w:eastAsia="方正小标宋简体" w:cs="Times New Roman"/>
          <w:b/>
          <w:sz w:val="44"/>
          <w:szCs w:val="44"/>
        </w:rPr>
        <w:t>年财政</w:t>
      </w:r>
    </w:p>
    <w:p>
      <w:pPr>
        <w:spacing w:line="576" w:lineRule="exact"/>
        <w:jc w:val="center"/>
        <w:rPr>
          <w:rFonts w:hint="eastAsia" w:ascii="方正小标宋简体" w:hAnsi="华文中宋" w:eastAsia="方正小标宋简体" w:cs="Times New Roman"/>
          <w:b/>
          <w:sz w:val="44"/>
          <w:szCs w:val="44"/>
        </w:rPr>
      </w:pPr>
      <w:r>
        <w:rPr>
          <w:rFonts w:hint="eastAsia" w:ascii="方正小标宋简体" w:hAnsi="华文中宋" w:eastAsia="方正小标宋简体" w:cs="Times New Roman"/>
          <w:b/>
          <w:sz w:val="44"/>
          <w:szCs w:val="44"/>
        </w:rPr>
        <w:t>决算</w:t>
      </w:r>
      <w:r>
        <w:rPr>
          <w:rFonts w:hint="eastAsia" w:ascii="方正小标宋简体" w:hAnsi="华文中宋" w:eastAsia="方正小标宋简体" w:cs="Times New Roman"/>
          <w:b/>
          <w:sz w:val="44"/>
          <w:szCs w:val="44"/>
          <w:lang w:eastAsia="zh-CN"/>
        </w:rPr>
        <w:t>（草案）</w:t>
      </w:r>
      <w:r>
        <w:rPr>
          <w:rFonts w:hint="eastAsia" w:ascii="方正小标宋简体" w:hAnsi="华文中宋" w:eastAsia="方正小标宋简体" w:cs="Times New Roman"/>
          <w:b/>
          <w:sz w:val="44"/>
          <w:szCs w:val="44"/>
        </w:rPr>
        <w:t>和</w:t>
      </w:r>
      <w:r>
        <w:rPr>
          <w:rFonts w:hint="eastAsia" w:ascii="方正小标宋简体" w:hAnsi="Times New Roman" w:eastAsia="方正小标宋简体" w:cs="Times New Roman"/>
          <w:b/>
          <w:sz w:val="44"/>
          <w:szCs w:val="44"/>
        </w:rPr>
        <w:t>2024</w:t>
      </w:r>
      <w:r>
        <w:rPr>
          <w:rFonts w:hint="eastAsia" w:ascii="方正小标宋简体" w:hAnsi="华文中宋" w:eastAsia="方正小标宋简体" w:cs="Times New Roman"/>
          <w:b/>
          <w:sz w:val="44"/>
          <w:szCs w:val="44"/>
        </w:rPr>
        <w:t>年上半年</w:t>
      </w:r>
    </w:p>
    <w:p>
      <w:pPr>
        <w:spacing w:line="576" w:lineRule="exact"/>
        <w:jc w:val="center"/>
        <w:rPr>
          <w:rFonts w:ascii="方正小标宋简体" w:hAnsi="Times New Roman" w:eastAsia="方正小标宋简体" w:cs="Times New Roman"/>
          <w:b/>
          <w:sz w:val="44"/>
          <w:szCs w:val="44"/>
        </w:rPr>
      </w:pPr>
      <w:r>
        <w:rPr>
          <w:rFonts w:hint="eastAsia" w:ascii="方正小标宋简体" w:hAnsi="华文中宋" w:eastAsia="方正小标宋简体" w:cs="Times New Roman"/>
          <w:b/>
          <w:sz w:val="44"/>
          <w:szCs w:val="44"/>
        </w:rPr>
        <w:t>预算执行情况的报告</w:t>
      </w:r>
    </w:p>
    <w:p>
      <w:pPr>
        <w:spacing w:line="576" w:lineRule="exact"/>
        <w:jc w:val="center"/>
        <w:rPr>
          <w:rFonts w:ascii="Times New Roman" w:hAnsi="Times New Roman" w:eastAsia="楷体_GB2312" w:cs="Times New Roman"/>
          <w:sz w:val="32"/>
          <w:szCs w:val="32"/>
        </w:rPr>
      </w:pPr>
    </w:p>
    <w:p>
      <w:pPr>
        <w:spacing w:line="576" w:lineRule="exact"/>
        <w:jc w:val="center"/>
        <w:rPr>
          <w:rFonts w:ascii="Times New Roman" w:hAnsi="Times New Roman" w:eastAsia="楷体_GB2312" w:cs="Times New Roman"/>
          <w:sz w:val="32"/>
          <w:szCs w:val="32"/>
        </w:rPr>
      </w:pPr>
      <w:r>
        <w:rPr>
          <w:rFonts w:ascii="Times New Roman" w:hAnsi="Times New Roman" w:eastAsia="楷体_GB2312" w:cs="Times New Roman"/>
          <w:sz w:val="32"/>
          <w:szCs w:val="32"/>
        </w:rPr>
        <w:t>区财政局</w:t>
      </w:r>
      <w:r>
        <w:rPr>
          <w:rFonts w:hint="eastAsia" w:ascii="Times New Roman" w:hAnsi="Times New Roman" w:eastAsia="楷体_GB2312" w:cs="Times New Roman"/>
          <w:sz w:val="32"/>
          <w:szCs w:val="32"/>
          <w:lang w:val="en-US" w:eastAsia="zh-CN"/>
        </w:rPr>
        <w:t>党组书记</w:t>
      </w:r>
      <w:bookmarkStart w:id="0" w:name="_GoBack"/>
      <w:bookmarkEnd w:id="0"/>
      <w:r>
        <w:rPr>
          <w:rFonts w:ascii="Times New Roman" w:hAnsi="Times New Roman" w:eastAsia="楷体_GB2312" w:cs="Times New Roman"/>
          <w:sz w:val="32"/>
          <w:szCs w:val="32"/>
        </w:rPr>
        <w:t xml:space="preserve">  </w:t>
      </w:r>
      <w:r>
        <w:rPr>
          <w:rFonts w:hint="eastAsia" w:ascii="Times New Roman" w:hAnsi="Times New Roman" w:eastAsia="楷体_GB2312" w:cs="Times New Roman"/>
          <w:sz w:val="32"/>
          <w:szCs w:val="32"/>
        </w:rPr>
        <w:t>刘阳</w:t>
      </w:r>
    </w:p>
    <w:p>
      <w:pPr>
        <w:spacing w:line="576" w:lineRule="exact"/>
        <w:jc w:val="center"/>
        <w:rPr>
          <w:rFonts w:ascii="Times New Roman" w:hAnsi="Times New Roman" w:eastAsia="楷体_GB2312" w:cs="Times New Roman"/>
          <w:sz w:val="32"/>
          <w:szCs w:val="32"/>
        </w:rPr>
      </w:pPr>
      <w:r>
        <w:rPr>
          <w:rFonts w:ascii="Times New Roman" w:hAnsi="Times New Roman" w:eastAsia="楷体_GB2312" w:cs="Times New Roman"/>
          <w:sz w:val="32"/>
          <w:szCs w:val="32"/>
        </w:rPr>
        <w:t>2024年</w:t>
      </w:r>
      <w:r>
        <w:rPr>
          <w:rFonts w:hint="eastAsia" w:ascii="Times New Roman" w:hAnsi="Times New Roman" w:eastAsia="楷体_GB2312" w:cs="Times New Roman"/>
          <w:sz w:val="32"/>
          <w:szCs w:val="32"/>
        </w:rPr>
        <w:t>8</w:t>
      </w:r>
      <w:r>
        <w:rPr>
          <w:rFonts w:ascii="Times New Roman" w:hAnsi="Times New Roman" w:eastAsia="楷体_GB2312" w:cs="Times New Roman"/>
          <w:sz w:val="32"/>
          <w:szCs w:val="32"/>
        </w:rPr>
        <w:t>月</w:t>
      </w:r>
      <w:r>
        <w:rPr>
          <w:rFonts w:hint="eastAsia" w:ascii="Times New Roman" w:hAnsi="Times New Roman" w:eastAsia="楷体_GB2312" w:cs="Times New Roman"/>
          <w:sz w:val="32"/>
          <w:szCs w:val="32"/>
        </w:rPr>
        <w:t>20日</w:t>
      </w:r>
    </w:p>
    <w:p>
      <w:pPr>
        <w:spacing w:line="576" w:lineRule="exact"/>
        <w:rPr>
          <w:rFonts w:ascii="Times New Roman" w:hAnsi="Times New Roman" w:eastAsia="华文仿宋" w:cs="Times New Roman"/>
          <w:sz w:val="32"/>
          <w:szCs w:val="32"/>
        </w:rPr>
      </w:pPr>
    </w:p>
    <w:p>
      <w:pPr>
        <w:spacing w:line="576"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主任、各位副主任、各位委员：</w:t>
      </w:r>
    </w:p>
    <w:p>
      <w:pPr>
        <w:spacing w:line="576" w:lineRule="exact"/>
        <w:ind w:firstLine="70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我受区人民政府委托，向区人大常委会报告2023年财政决算</w:t>
      </w:r>
      <w:r>
        <w:rPr>
          <w:rFonts w:hint="eastAsia" w:ascii="Times New Roman" w:hAnsi="Times New Roman" w:eastAsia="仿宋_GB2312" w:cs="Times New Roman"/>
          <w:sz w:val="32"/>
          <w:szCs w:val="32"/>
          <w:lang w:eastAsia="zh-CN"/>
        </w:rPr>
        <w:t>（草案）</w:t>
      </w:r>
      <w:r>
        <w:rPr>
          <w:rFonts w:ascii="Times New Roman" w:hAnsi="Times New Roman" w:eastAsia="仿宋_GB2312" w:cs="Times New Roman"/>
          <w:sz w:val="32"/>
          <w:szCs w:val="32"/>
        </w:rPr>
        <w:t>和2024年上半年预算执行情况，请予审议。</w:t>
      </w:r>
    </w:p>
    <w:p>
      <w:pPr>
        <w:spacing w:line="576" w:lineRule="exact"/>
        <w:ind w:firstLine="700" w:firstLineChars="200"/>
        <w:rPr>
          <w:rFonts w:ascii="Times New Roman" w:hAnsi="Times New Roman" w:eastAsia="黑体" w:cs="Times New Roman"/>
          <w:sz w:val="32"/>
          <w:szCs w:val="32"/>
        </w:rPr>
      </w:pPr>
      <w:r>
        <w:rPr>
          <w:rFonts w:ascii="Times New Roman" w:hAnsi="Times New Roman" w:eastAsia="黑体" w:cs="Times New Roman"/>
          <w:sz w:val="32"/>
          <w:szCs w:val="32"/>
        </w:rPr>
        <w:t>一、2023年财政决算情况</w:t>
      </w:r>
    </w:p>
    <w:p>
      <w:pPr>
        <w:spacing w:line="576" w:lineRule="exact"/>
        <w:ind w:firstLine="700" w:firstLineChars="200"/>
        <w:rPr>
          <w:rFonts w:hint="eastAsia" w:ascii="仿宋_GB2312" w:hAnsi="仿宋" w:eastAsia="仿宋_GB2312"/>
          <w:spacing w:val="14"/>
          <w:sz w:val="29"/>
          <w:szCs w:val="29"/>
        </w:rPr>
      </w:pPr>
      <w:r>
        <w:rPr>
          <w:rFonts w:ascii="Times New Roman" w:hAnsi="Times New Roman" w:eastAsia="仿宋_GB2312" w:cs="Times New Roman"/>
          <w:sz w:val="32"/>
          <w:szCs w:val="32"/>
        </w:rPr>
        <w:t>2023年</w:t>
      </w:r>
      <w:r>
        <w:rPr>
          <w:rFonts w:hint="eastAsia" w:ascii="Times New Roman" w:hAnsi="Times New Roman" w:eastAsia="仿宋_GB2312" w:cs="Times New Roman"/>
          <w:sz w:val="32"/>
          <w:szCs w:val="32"/>
        </w:rPr>
        <w:t>是全面贯彻落实党的二十大精神的开局之年，是南关区“十四五”规划承上启下的关键之年，也是南关振兴突破三年行动计划的开启之年。一年来，全区财政工作在区委的坚强领导下，在区人大、区政协的监督支持下，始终坚持以习近平新时代中国特色社会主义思想为指引，深刻学习领会习近平总书记视察吉林和新时代推动东北全面振兴座谈会重要讲话重要指示精神，认真分解落实区委十四届五次全会各项经济工作部署，坚决树牢“过紧日子”思想，坚持“稳字当头、稳中求进”总基调，以全力保障“三保”支出为底线，以有效防范和化解风险、实现财政收支平衡为目标，爬坡过坎儿，抓铁有痕，为推动南关经济持续高质量发展，实现质的有效提升和量的合理增长提供必要的财力支撑。</w:t>
      </w:r>
    </w:p>
    <w:p>
      <w:pPr>
        <w:spacing w:line="576" w:lineRule="exact"/>
        <w:ind w:firstLine="700" w:firstLineChars="200"/>
        <w:rPr>
          <w:rFonts w:ascii="Times New Roman" w:hAnsi="Times New Roman" w:eastAsia="楷体" w:cs="Times New Roman"/>
          <w:sz w:val="32"/>
          <w:szCs w:val="32"/>
        </w:rPr>
      </w:pPr>
      <w:r>
        <w:rPr>
          <w:rFonts w:ascii="Times New Roman" w:hAnsi="Times New Roman" w:eastAsia="楷体" w:cs="Times New Roman"/>
          <w:sz w:val="32"/>
          <w:szCs w:val="32"/>
        </w:rPr>
        <w:t>（一）一般公共预算</w:t>
      </w:r>
      <w:r>
        <w:rPr>
          <w:rFonts w:hint="eastAsia" w:ascii="Times New Roman" w:hAnsi="Times New Roman" w:eastAsia="楷体" w:cs="Times New Roman"/>
          <w:sz w:val="32"/>
          <w:szCs w:val="32"/>
        </w:rPr>
        <w:t>收支决算</w:t>
      </w:r>
      <w:r>
        <w:rPr>
          <w:rFonts w:ascii="Times New Roman" w:hAnsi="Times New Roman" w:eastAsia="楷体" w:cs="Times New Roman"/>
          <w:sz w:val="32"/>
          <w:szCs w:val="32"/>
        </w:rPr>
        <w:t>情况</w:t>
      </w:r>
    </w:p>
    <w:p>
      <w:pPr>
        <w:spacing w:line="576" w:lineRule="exact"/>
        <w:ind w:firstLine="700" w:firstLineChars="200"/>
        <w:rPr>
          <w:rFonts w:ascii="Times New Roman" w:hAnsi="Times New Roman" w:eastAsia="仿宋_GB2312" w:cs="Times New Roman"/>
          <w:sz w:val="32"/>
          <w:szCs w:val="32"/>
        </w:rPr>
      </w:pPr>
      <w:r>
        <w:rPr>
          <w:rFonts w:ascii="Times New Roman" w:hAnsi="Times New Roman" w:eastAsia="仿宋_GB2312" w:cs="Times New Roman"/>
          <w:b/>
          <w:sz w:val="32"/>
          <w:szCs w:val="32"/>
        </w:rPr>
        <w:t>收入方面，</w:t>
      </w:r>
      <w:r>
        <w:rPr>
          <w:rFonts w:ascii="Times New Roman" w:hAnsi="Times New Roman" w:eastAsia="仿宋_GB2312" w:cs="Times New Roman"/>
          <w:sz w:val="32"/>
          <w:szCs w:val="32"/>
        </w:rPr>
        <w:t>2023年，全区一般公共预算收入完成3</w:t>
      </w:r>
      <w:r>
        <w:rPr>
          <w:rFonts w:hint="eastAsia" w:ascii="Times New Roman" w:hAnsi="Times New Roman" w:eastAsia="仿宋_GB2312" w:cs="Times New Roman"/>
          <w:sz w:val="32"/>
          <w:szCs w:val="32"/>
        </w:rPr>
        <w:t>37</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rPr>
        <w:t>544</w:t>
      </w:r>
      <w:r>
        <w:rPr>
          <w:rFonts w:ascii="Times New Roman" w:hAnsi="Times New Roman" w:eastAsia="仿宋_GB2312" w:cs="Times New Roman"/>
          <w:sz w:val="32"/>
          <w:szCs w:val="32"/>
        </w:rPr>
        <w:t>万元，其中：本级收入完成</w:t>
      </w:r>
      <w:r>
        <w:rPr>
          <w:rFonts w:hint="eastAsia" w:ascii="Times New Roman" w:hAnsi="Times New Roman" w:eastAsia="仿宋_GB2312" w:cs="Times New Roman"/>
          <w:sz w:val="32"/>
          <w:szCs w:val="32"/>
        </w:rPr>
        <w:t>105</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rPr>
        <w:t>187</w:t>
      </w:r>
      <w:r>
        <w:rPr>
          <w:rFonts w:ascii="Times New Roman" w:hAnsi="Times New Roman" w:eastAsia="仿宋_GB2312" w:cs="Times New Roman"/>
          <w:sz w:val="32"/>
          <w:szCs w:val="32"/>
        </w:rPr>
        <w:t>万元，同比</w:t>
      </w:r>
      <w:r>
        <w:rPr>
          <w:rFonts w:hint="eastAsia" w:ascii="Times New Roman" w:hAnsi="Times New Roman" w:eastAsia="仿宋_GB2312" w:cs="Times New Roman"/>
          <w:sz w:val="32"/>
          <w:szCs w:val="32"/>
        </w:rPr>
        <w:t>增长22</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rPr>
        <w:t>8</w:t>
      </w:r>
      <w:r>
        <w:rPr>
          <w:rFonts w:ascii="Times New Roman" w:hAnsi="Times New Roman" w:eastAsia="仿宋_GB2312" w:cs="Times New Roman"/>
          <w:sz w:val="32"/>
          <w:szCs w:val="32"/>
        </w:rPr>
        <w:t>%。上级补助收入132,</w:t>
      </w:r>
      <w:r>
        <w:rPr>
          <w:rFonts w:hint="eastAsia" w:ascii="Times New Roman" w:hAnsi="Times New Roman" w:eastAsia="仿宋_GB2312" w:cs="Times New Roman"/>
          <w:sz w:val="32"/>
          <w:szCs w:val="32"/>
        </w:rPr>
        <w:t>989</w:t>
      </w:r>
      <w:r>
        <w:rPr>
          <w:rFonts w:ascii="Times New Roman" w:hAnsi="Times New Roman" w:eastAsia="仿宋_GB2312" w:cs="Times New Roman"/>
          <w:sz w:val="32"/>
          <w:szCs w:val="32"/>
        </w:rPr>
        <w:t>万元，债务转贷收入</w:t>
      </w:r>
      <w:r>
        <w:rPr>
          <w:rFonts w:hint="eastAsia" w:ascii="Times New Roman" w:hAnsi="Times New Roman" w:eastAsia="仿宋_GB2312" w:cs="Times New Roman"/>
          <w:sz w:val="32"/>
          <w:szCs w:val="32"/>
        </w:rPr>
        <w:t>8</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rPr>
        <w:t>5</w:t>
      </w:r>
      <w:r>
        <w:rPr>
          <w:rFonts w:ascii="Times New Roman" w:hAnsi="Times New Roman" w:eastAsia="仿宋_GB2312" w:cs="Times New Roman"/>
          <w:sz w:val="32"/>
          <w:szCs w:val="32"/>
        </w:rPr>
        <w:t>00万元，上年结转收入</w:t>
      </w:r>
      <w:r>
        <w:rPr>
          <w:rFonts w:hint="eastAsia" w:ascii="Times New Roman" w:hAnsi="Times New Roman" w:eastAsia="仿宋_GB2312" w:cs="Times New Roman"/>
          <w:sz w:val="32"/>
          <w:szCs w:val="32"/>
        </w:rPr>
        <w:t>35</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rPr>
        <w:t>000</w:t>
      </w:r>
      <w:r>
        <w:rPr>
          <w:rFonts w:ascii="Times New Roman" w:hAnsi="Times New Roman" w:eastAsia="仿宋_GB2312" w:cs="Times New Roman"/>
          <w:sz w:val="32"/>
          <w:szCs w:val="32"/>
        </w:rPr>
        <w:t>万元，调入预算稳定调节基金</w:t>
      </w:r>
      <w:r>
        <w:rPr>
          <w:rFonts w:hint="eastAsia" w:ascii="Times New Roman" w:hAnsi="Times New Roman" w:eastAsia="仿宋_GB2312" w:cs="Times New Roman"/>
          <w:sz w:val="32"/>
          <w:szCs w:val="32"/>
        </w:rPr>
        <w:t>15</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rPr>
        <w:t>868</w:t>
      </w:r>
      <w:r>
        <w:rPr>
          <w:rFonts w:ascii="Times New Roman" w:hAnsi="Times New Roman" w:eastAsia="仿宋_GB2312" w:cs="Times New Roman"/>
          <w:sz w:val="32"/>
          <w:szCs w:val="32"/>
        </w:rPr>
        <w:t xml:space="preserve">万元，调入资金40,000万元。 </w:t>
      </w:r>
    </w:p>
    <w:p>
      <w:pPr>
        <w:spacing w:line="576" w:lineRule="exact"/>
        <w:ind w:firstLine="700" w:firstLineChars="200"/>
        <w:rPr>
          <w:rFonts w:ascii="Times New Roman" w:hAnsi="Times New Roman" w:eastAsia="仿宋_GB2312" w:cs="Times New Roman"/>
          <w:sz w:val="32"/>
          <w:szCs w:val="32"/>
        </w:rPr>
      </w:pPr>
      <w:r>
        <w:rPr>
          <w:rFonts w:ascii="Times New Roman" w:hAnsi="Times New Roman" w:eastAsia="仿宋_GB2312" w:cs="Times New Roman"/>
          <w:b/>
          <w:sz w:val="32"/>
          <w:szCs w:val="32"/>
        </w:rPr>
        <w:t>支出方面，</w:t>
      </w:r>
      <w:r>
        <w:rPr>
          <w:rFonts w:ascii="Times New Roman" w:hAnsi="Times New Roman" w:eastAsia="仿宋_GB2312" w:cs="Times New Roman"/>
          <w:sz w:val="32"/>
          <w:szCs w:val="32"/>
        </w:rPr>
        <w:t>2023年，全区一般公共预算支出完成3</w:t>
      </w:r>
      <w:r>
        <w:rPr>
          <w:rFonts w:hint="eastAsia" w:ascii="Times New Roman" w:hAnsi="Times New Roman" w:eastAsia="仿宋_GB2312" w:cs="Times New Roman"/>
          <w:sz w:val="32"/>
          <w:szCs w:val="32"/>
        </w:rPr>
        <w:t>37</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rPr>
        <w:t>544</w:t>
      </w:r>
      <w:r>
        <w:rPr>
          <w:rFonts w:ascii="Times New Roman" w:hAnsi="Times New Roman" w:eastAsia="仿宋_GB2312" w:cs="Times New Roman"/>
          <w:sz w:val="32"/>
          <w:szCs w:val="32"/>
        </w:rPr>
        <w:t>万元，其中：当年支出2</w:t>
      </w:r>
      <w:r>
        <w:rPr>
          <w:rFonts w:hint="eastAsia" w:ascii="Times New Roman" w:hAnsi="Times New Roman" w:eastAsia="仿宋_GB2312" w:cs="Times New Roman"/>
          <w:sz w:val="32"/>
          <w:szCs w:val="32"/>
        </w:rPr>
        <w:t>90</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rPr>
        <w:t>880</w:t>
      </w:r>
      <w:r>
        <w:rPr>
          <w:rFonts w:ascii="Times New Roman" w:hAnsi="Times New Roman" w:eastAsia="仿宋_GB2312" w:cs="Times New Roman"/>
          <w:sz w:val="32"/>
          <w:szCs w:val="32"/>
        </w:rPr>
        <w:t>万元，比上年</w:t>
      </w:r>
      <w:r>
        <w:rPr>
          <w:rFonts w:hint="eastAsia" w:ascii="Times New Roman" w:hAnsi="Times New Roman" w:eastAsia="仿宋_GB2312" w:cs="Times New Roman"/>
          <w:sz w:val="32"/>
          <w:szCs w:val="32"/>
        </w:rPr>
        <w:t>增长7</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rPr>
        <w:t>4</w:t>
      </w:r>
      <w:r>
        <w:rPr>
          <w:rFonts w:ascii="Times New Roman" w:hAnsi="Times New Roman" w:eastAsia="仿宋_GB2312" w:cs="Times New Roman"/>
          <w:sz w:val="32"/>
          <w:szCs w:val="32"/>
        </w:rPr>
        <w:t>%。上解支出1,</w:t>
      </w:r>
      <w:r>
        <w:rPr>
          <w:rFonts w:hint="eastAsia" w:ascii="Times New Roman" w:hAnsi="Times New Roman" w:eastAsia="仿宋_GB2312" w:cs="Times New Roman"/>
          <w:sz w:val="32"/>
          <w:szCs w:val="32"/>
        </w:rPr>
        <w:t>526</w:t>
      </w:r>
      <w:r>
        <w:rPr>
          <w:rFonts w:ascii="Times New Roman" w:hAnsi="Times New Roman" w:eastAsia="仿宋_GB2312" w:cs="Times New Roman"/>
          <w:sz w:val="32"/>
          <w:szCs w:val="32"/>
        </w:rPr>
        <w:t>万元，债务还本支出</w:t>
      </w:r>
      <w:r>
        <w:rPr>
          <w:rFonts w:hint="eastAsia" w:ascii="Times New Roman" w:hAnsi="Times New Roman" w:eastAsia="仿宋_GB2312" w:cs="Times New Roman"/>
          <w:sz w:val="32"/>
          <w:szCs w:val="32"/>
        </w:rPr>
        <w:t>400</w:t>
      </w:r>
      <w:r>
        <w:rPr>
          <w:rFonts w:ascii="Times New Roman" w:hAnsi="Times New Roman" w:eastAsia="仿宋_GB2312" w:cs="Times New Roman"/>
          <w:sz w:val="32"/>
          <w:szCs w:val="32"/>
        </w:rPr>
        <w:t>万元，安排预算稳定调节基金</w:t>
      </w:r>
      <w:r>
        <w:rPr>
          <w:rFonts w:hint="eastAsia" w:ascii="Times New Roman" w:hAnsi="Times New Roman" w:eastAsia="仿宋_GB2312" w:cs="Times New Roman"/>
          <w:sz w:val="32"/>
          <w:szCs w:val="32"/>
        </w:rPr>
        <w:t>19</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rPr>
        <w:t>738</w:t>
      </w:r>
      <w:r>
        <w:rPr>
          <w:rFonts w:ascii="Times New Roman" w:hAnsi="Times New Roman" w:eastAsia="仿宋_GB2312" w:cs="Times New Roman"/>
          <w:sz w:val="32"/>
          <w:szCs w:val="32"/>
        </w:rPr>
        <w:t>万元，结转下年支出</w:t>
      </w:r>
      <w:r>
        <w:rPr>
          <w:rFonts w:hint="eastAsia" w:ascii="Times New Roman" w:hAnsi="Times New Roman" w:eastAsia="仿宋_GB2312" w:cs="Times New Roman"/>
          <w:sz w:val="32"/>
          <w:szCs w:val="32"/>
        </w:rPr>
        <w:t>2</w:t>
      </w:r>
      <w:r>
        <w:rPr>
          <w:rFonts w:ascii="Times New Roman" w:hAnsi="Times New Roman" w:eastAsia="仿宋_GB2312" w:cs="Times New Roman"/>
          <w:sz w:val="32"/>
          <w:szCs w:val="32"/>
        </w:rPr>
        <w:t xml:space="preserve">5,000万元。 </w:t>
      </w:r>
    </w:p>
    <w:p>
      <w:pPr>
        <w:spacing w:line="576" w:lineRule="exact"/>
        <w:ind w:firstLine="700" w:firstLineChars="200"/>
        <w:jc w:val="left"/>
        <w:rPr>
          <w:rFonts w:ascii="Times New Roman" w:hAnsi="Times New Roman" w:eastAsia="仿宋_GB2312" w:cs="Times New Roman"/>
          <w:sz w:val="32"/>
          <w:szCs w:val="32"/>
        </w:rPr>
      </w:pPr>
      <w:r>
        <w:rPr>
          <w:rFonts w:ascii="Times New Roman" w:hAnsi="Times New Roman" w:eastAsia="仿宋_GB2312" w:cs="Times New Roman"/>
          <w:b/>
          <w:sz w:val="32"/>
          <w:szCs w:val="32"/>
        </w:rPr>
        <w:t>平衡方面，</w:t>
      </w:r>
      <w:r>
        <w:rPr>
          <w:rFonts w:ascii="Times New Roman" w:hAnsi="Times New Roman" w:eastAsia="仿宋_GB2312" w:cs="Times New Roman"/>
          <w:sz w:val="32"/>
          <w:szCs w:val="32"/>
        </w:rPr>
        <w:t>2023年，全区一般公共预算总收入与总支出相抵后，收支平衡。</w:t>
      </w:r>
    </w:p>
    <w:p>
      <w:pPr>
        <w:spacing w:line="576" w:lineRule="exact"/>
        <w:ind w:firstLine="700" w:firstLineChars="200"/>
        <w:rPr>
          <w:rFonts w:ascii="Times New Roman" w:hAnsi="Times New Roman" w:eastAsia="楷体" w:cs="Times New Roman"/>
          <w:sz w:val="32"/>
          <w:szCs w:val="32"/>
        </w:rPr>
      </w:pPr>
      <w:r>
        <w:rPr>
          <w:rFonts w:ascii="Times New Roman" w:hAnsi="Times New Roman" w:eastAsia="楷体" w:cs="Times New Roman"/>
          <w:sz w:val="32"/>
          <w:szCs w:val="32"/>
        </w:rPr>
        <w:t>（二）政府性基金</w:t>
      </w:r>
      <w:r>
        <w:rPr>
          <w:rFonts w:hint="eastAsia" w:ascii="Times New Roman" w:hAnsi="Times New Roman" w:eastAsia="楷体" w:cs="Times New Roman"/>
          <w:sz w:val="32"/>
          <w:szCs w:val="32"/>
        </w:rPr>
        <w:t>收支决算</w:t>
      </w:r>
      <w:r>
        <w:rPr>
          <w:rFonts w:ascii="Times New Roman" w:hAnsi="Times New Roman" w:eastAsia="楷体" w:cs="Times New Roman"/>
          <w:sz w:val="32"/>
          <w:szCs w:val="32"/>
        </w:rPr>
        <w:t>情况</w:t>
      </w:r>
    </w:p>
    <w:p>
      <w:pPr>
        <w:spacing w:line="576" w:lineRule="exact"/>
        <w:ind w:firstLine="700" w:firstLineChars="200"/>
        <w:rPr>
          <w:rFonts w:ascii="Times New Roman" w:hAnsi="Times New Roman" w:eastAsia="仿宋_GB2312" w:cs="Times New Roman"/>
          <w:sz w:val="32"/>
          <w:szCs w:val="32"/>
        </w:rPr>
      </w:pPr>
      <w:r>
        <w:rPr>
          <w:rFonts w:ascii="Times New Roman" w:hAnsi="Times New Roman" w:eastAsia="仿宋_GB2312" w:cs="Times New Roman"/>
          <w:b/>
          <w:sz w:val="32"/>
          <w:szCs w:val="32"/>
        </w:rPr>
        <w:t>收入方面，</w:t>
      </w:r>
      <w:r>
        <w:rPr>
          <w:rFonts w:ascii="Times New Roman" w:hAnsi="Times New Roman" w:eastAsia="仿宋_GB2312" w:cs="Times New Roman"/>
          <w:sz w:val="32"/>
          <w:szCs w:val="32"/>
        </w:rPr>
        <w:t>2023年，全区政府性基金总收入完成</w:t>
      </w:r>
      <w:r>
        <w:rPr>
          <w:rFonts w:hint="eastAsia" w:ascii="Times New Roman" w:hAnsi="Times New Roman" w:eastAsia="仿宋_GB2312" w:cs="Times New Roman"/>
          <w:sz w:val="32"/>
          <w:szCs w:val="32"/>
        </w:rPr>
        <w:t>28</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rPr>
        <w:t>312</w:t>
      </w:r>
      <w:r>
        <w:rPr>
          <w:rFonts w:ascii="Times New Roman" w:hAnsi="Times New Roman" w:eastAsia="仿宋_GB2312" w:cs="Times New Roman"/>
          <w:sz w:val="32"/>
          <w:szCs w:val="32"/>
        </w:rPr>
        <w:t>万元，其中，当年基金收入1,</w:t>
      </w:r>
      <w:r>
        <w:rPr>
          <w:rFonts w:hint="eastAsia" w:ascii="Times New Roman" w:hAnsi="Times New Roman" w:eastAsia="仿宋_GB2312" w:cs="Times New Roman"/>
          <w:sz w:val="32"/>
          <w:szCs w:val="32"/>
        </w:rPr>
        <w:t>839</w:t>
      </w:r>
      <w:r>
        <w:rPr>
          <w:rFonts w:ascii="Times New Roman" w:hAnsi="Times New Roman" w:eastAsia="仿宋_GB2312" w:cs="Times New Roman"/>
          <w:sz w:val="32"/>
          <w:szCs w:val="32"/>
        </w:rPr>
        <w:t>万元，比上年增长</w:t>
      </w:r>
      <w:r>
        <w:rPr>
          <w:rFonts w:hint="eastAsia" w:ascii="Times New Roman" w:hAnsi="Times New Roman" w:eastAsia="仿宋_GB2312" w:cs="Times New Roman"/>
          <w:sz w:val="32"/>
          <w:szCs w:val="32"/>
        </w:rPr>
        <w:t>40.5%</w:t>
      </w:r>
      <w:r>
        <w:rPr>
          <w:rFonts w:ascii="Times New Roman" w:hAnsi="Times New Roman" w:eastAsia="仿宋_GB2312" w:cs="Times New Roman"/>
          <w:sz w:val="32"/>
          <w:szCs w:val="32"/>
        </w:rPr>
        <w:t>，主要为专项债券对应项目专项收入；转移性收入</w:t>
      </w:r>
      <w:r>
        <w:rPr>
          <w:rFonts w:hint="eastAsia" w:ascii="Times New Roman" w:hAnsi="Times New Roman" w:eastAsia="仿宋_GB2312" w:cs="Times New Roman"/>
          <w:sz w:val="32"/>
          <w:szCs w:val="32"/>
        </w:rPr>
        <w:t>682</w:t>
      </w:r>
      <w:r>
        <w:rPr>
          <w:rFonts w:ascii="Times New Roman" w:hAnsi="Times New Roman" w:eastAsia="仿宋_GB2312" w:cs="Times New Roman"/>
          <w:sz w:val="32"/>
          <w:szCs w:val="32"/>
        </w:rPr>
        <w:t>万元；上年结转收入</w:t>
      </w:r>
      <w:r>
        <w:rPr>
          <w:rFonts w:hint="eastAsia" w:ascii="Times New Roman" w:hAnsi="Times New Roman" w:eastAsia="仿宋_GB2312" w:cs="Times New Roman"/>
          <w:sz w:val="32"/>
          <w:szCs w:val="32"/>
        </w:rPr>
        <w:t>9</w:t>
      </w:r>
      <w:r>
        <w:rPr>
          <w:rFonts w:ascii="Times New Roman" w:hAnsi="Times New Roman" w:eastAsia="仿宋_GB2312" w:cs="Times New Roman"/>
          <w:sz w:val="32"/>
          <w:szCs w:val="32"/>
        </w:rPr>
        <w:t>,4</w:t>
      </w:r>
      <w:r>
        <w:rPr>
          <w:rFonts w:hint="eastAsia" w:ascii="Times New Roman" w:hAnsi="Times New Roman" w:eastAsia="仿宋_GB2312" w:cs="Times New Roman"/>
          <w:sz w:val="32"/>
          <w:szCs w:val="32"/>
        </w:rPr>
        <w:t>91</w:t>
      </w:r>
      <w:r>
        <w:rPr>
          <w:rFonts w:ascii="Times New Roman" w:hAnsi="Times New Roman" w:eastAsia="仿宋_GB2312" w:cs="Times New Roman"/>
          <w:sz w:val="32"/>
          <w:szCs w:val="32"/>
        </w:rPr>
        <w:t>万元；专项债务转贷收入</w:t>
      </w:r>
      <w:r>
        <w:rPr>
          <w:rFonts w:hint="eastAsia" w:ascii="Times New Roman" w:hAnsi="Times New Roman" w:eastAsia="仿宋_GB2312" w:cs="Times New Roman"/>
          <w:sz w:val="32"/>
          <w:szCs w:val="32"/>
        </w:rPr>
        <w:t>16</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rPr>
        <w:t>3</w:t>
      </w:r>
      <w:r>
        <w:rPr>
          <w:rFonts w:ascii="Times New Roman" w:hAnsi="Times New Roman" w:eastAsia="仿宋_GB2312" w:cs="Times New Roman"/>
          <w:sz w:val="32"/>
          <w:szCs w:val="32"/>
        </w:rPr>
        <w:t>00万元。</w:t>
      </w:r>
    </w:p>
    <w:p>
      <w:pPr>
        <w:spacing w:line="576" w:lineRule="exact"/>
        <w:ind w:firstLine="700" w:firstLineChars="200"/>
        <w:rPr>
          <w:rFonts w:ascii="Times New Roman" w:hAnsi="Times New Roman" w:eastAsia="仿宋_GB2312" w:cs="Times New Roman"/>
          <w:sz w:val="32"/>
          <w:szCs w:val="32"/>
        </w:rPr>
      </w:pPr>
      <w:r>
        <w:rPr>
          <w:rFonts w:ascii="Times New Roman" w:hAnsi="Times New Roman" w:eastAsia="仿宋_GB2312" w:cs="Times New Roman"/>
          <w:b/>
          <w:sz w:val="32"/>
          <w:szCs w:val="32"/>
        </w:rPr>
        <w:t>支出方面，</w:t>
      </w:r>
      <w:r>
        <w:rPr>
          <w:rFonts w:ascii="Times New Roman" w:hAnsi="Times New Roman" w:eastAsia="仿宋_GB2312" w:cs="Times New Roman"/>
          <w:sz w:val="32"/>
          <w:szCs w:val="32"/>
        </w:rPr>
        <w:t>2023年，全区政府性基金总支出完成</w:t>
      </w:r>
      <w:r>
        <w:rPr>
          <w:rFonts w:hint="eastAsia" w:ascii="Times New Roman" w:hAnsi="Times New Roman" w:eastAsia="仿宋_GB2312" w:cs="Times New Roman"/>
          <w:sz w:val="32"/>
          <w:szCs w:val="32"/>
        </w:rPr>
        <w:t>28</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rPr>
        <w:t>312</w:t>
      </w:r>
      <w:r>
        <w:rPr>
          <w:rFonts w:ascii="Times New Roman" w:hAnsi="Times New Roman" w:eastAsia="仿宋_GB2312" w:cs="Times New Roman"/>
          <w:sz w:val="32"/>
          <w:szCs w:val="32"/>
        </w:rPr>
        <w:t>万元，其中，当年基金支出2</w:t>
      </w:r>
      <w:r>
        <w:rPr>
          <w:rFonts w:hint="eastAsia" w:ascii="Times New Roman" w:hAnsi="Times New Roman" w:eastAsia="仿宋_GB2312" w:cs="Times New Roman"/>
          <w:sz w:val="32"/>
          <w:szCs w:val="32"/>
        </w:rPr>
        <w:t>5</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rPr>
        <w:t>906</w:t>
      </w:r>
      <w:r>
        <w:rPr>
          <w:rFonts w:ascii="Times New Roman" w:hAnsi="Times New Roman" w:eastAsia="仿宋_GB2312" w:cs="Times New Roman"/>
          <w:sz w:val="32"/>
          <w:szCs w:val="32"/>
        </w:rPr>
        <w:t>万元，比上年</w:t>
      </w:r>
      <w:r>
        <w:rPr>
          <w:rFonts w:hint="eastAsia" w:ascii="Times New Roman" w:hAnsi="Times New Roman" w:eastAsia="仿宋_GB2312" w:cs="Times New Roman"/>
          <w:sz w:val="32"/>
          <w:szCs w:val="32"/>
        </w:rPr>
        <w:t>下降4.2</w:t>
      </w:r>
      <w:r>
        <w:rPr>
          <w:rFonts w:ascii="Times New Roman" w:hAnsi="Times New Roman" w:eastAsia="仿宋_GB2312" w:cs="Times New Roman"/>
          <w:sz w:val="32"/>
          <w:szCs w:val="32"/>
        </w:rPr>
        <w:t>%；结转下年支出</w:t>
      </w:r>
      <w:r>
        <w:rPr>
          <w:rFonts w:hint="eastAsia" w:ascii="Times New Roman" w:hAnsi="Times New Roman" w:eastAsia="仿宋_GB2312" w:cs="Times New Roman"/>
          <w:sz w:val="32"/>
          <w:szCs w:val="32"/>
        </w:rPr>
        <w:t>2</w:t>
      </w:r>
      <w:r>
        <w:rPr>
          <w:rFonts w:ascii="Times New Roman" w:hAnsi="Times New Roman" w:eastAsia="仿宋_GB2312" w:cs="Times New Roman"/>
          <w:sz w:val="32"/>
          <w:szCs w:val="32"/>
        </w:rPr>
        <w:t>,4</w:t>
      </w:r>
      <w:r>
        <w:rPr>
          <w:rFonts w:hint="eastAsia" w:ascii="Times New Roman" w:hAnsi="Times New Roman" w:eastAsia="仿宋_GB2312" w:cs="Times New Roman"/>
          <w:sz w:val="32"/>
          <w:szCs w:val="32"/>
        </w:rPr>
        <w:t>06</w:t>
      </w:r>
      <w:r>
        <w:rPr>
          <w:rFonts w:ascii="Times New Roman" w:hAnsi="Times New Roman" w:eastAsia="仿宋_GB2312" w:cs="Times New Roman"/>
          <w:sz w:val="32"/>
          <w:szCs w:val="32"/>
        </w:rPr>
        <w:t>万元。</w:t>
      </w:r>
    </w:p>
    <w:p>
      <w:pPr>
        <w:spacing w:line="576" w:lineRule="exact"/>
        <w:ind w:firstLine="700" w:firstLineChars="200"/>
        <w:rPr>
          <w:rFonts w:ascii="Times New Roman" w:hAnsi="Times New Roman" w:eastAsia="仿宋_GB2312" w:cs="Times New Roman"/>
          <w:sz w:val="32"/>
          <w:szCs w:val="32"/>
        </w:rPr>
      </w:pPr>
      <w:r>
        <w:rPr>
          <w:rFonts w:ascii="Times New Roman" w:hAnsi="Times New Roman" w:eastAsia="仿宋_GB2312" w:cs="Times New Roman"/>
          <w:b/>
          <w:sz w:val="32"/>
          <w:szCs w:val="32"/>
        </w:rPr>
        <w:t>平衡情况，</w:t>
      </w:r>
      <w:r>
        <w:rPr>
          <w:rFonts w:ascii="Times New Roman" w:hAnsi="Times New Roman" w:eastAsia="仿宋_GB2312" w:cs="Times New Roman"/>
          <w:sz w:val="32"/>
          <w:szCs w:val="32"/>
        </w:rPr>
        <w:t>2023年，全区政府性基金总收入与总支出相抵后，收支平衡。</w:t>
      </w:r>
    </w:p>
    <w:p>
      <w:pPr>
        <w:spacing w:line="576" w:lineRule="exact"/>
        <w:ind w:firstLine="700" w:firstLineChars="200"/>
        <w:rPr>
          <w:rFonts w:ascii="Times New Roman" w:hAnsi="Times New Roman" w:eastAsia="楷体" w:cs="Times New Roman"/>
          <w:sz w:val="32"/>
          <w:szCs w:val="32"/>
        </w:rPr>
      </w:pPr>
      <w:r>
        <w:rPr>
          <w:rFonts w:ascii="Times New Roman" w:hAnsi="Times New Roman" w:eastAsia="楷体" w:cs="Times New Roman"/>
          <w:sz w:val="32"/>
          <w:szCs w:val="32"/>
        </w:rPr>
        <w:t>（三）地方政府债务情况</w:t>
      </w:r>
    </w:p>
    <w:p>
      <w:pPr>
        <w:spacing w:line="576" w:lineRule="exact"/>
        <w:ind w:firstLine="70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202</w:t>
      </w:r>
      <w:r>
        <w:rPr>
          <w:rFonts w:hint="eastAsia" w:ascii="Times New Roman" w:hAnsi="Times New Roman" w:eastAsia="仿宋_GB2312" w:cs="Times New Roman"/>
          <w:sz w:val="32"/>
          <w:szCs w:val="32"/>
        </w:rPr>
        <w:t>3</w:t>
      </w:r>
      <w:r>
        <w:rPr>
          <w:rFonts w:ascii="Times New Roman" w:hAnsi="Times New Roman" w:eastAsia="仿宋_GB2312" w:cs="Times New Roman"/>
          <w:sz w:val="32"/>
          <w:szCs w:val="32"/>
        </w:rPr>
        <w:t>年末</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我区债务余额</w:t>
      </w:r>
      <w:r>
        <w:rPr>
          <w:rFonts w:hint="eastAsia" w:ascii="Times New Roman" w:hAnsi="Times New Roman" w:eastAsia="仿宋_GB2312" w:cs="Times New Roman"/>
          <w:sz w:val="32"/>
          <w:szCs w:val="32"/>
        </w:rPr>
        <w:t>216</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rPr>
        <w:t>600</w:t>
      </w:r>
      <w:r>
        <w:rPr>
          <w:rFonts w:ascii="Times New Roman" w:hAnsi="Times New Roman" w:eastAsia="仿宋_GB2312" w:cs="Times New Roman"/>
          <w:sz w:val="32"/>
          <w:szCs w:val="32"/>
        </w:rPr>
        <w:t>万元</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其中：一般债务余额</w:t>
      </w:r>
      <w:r>
        <w:rPr>
          <w:rFonts w:hint="eastAsia" w:ascii="Times New Roman" w:hAnsi="Times New Roman" w:eastAsia="仿宋_GB2312" w:cs="Times New Roman"/>
          <w:sz w:val="32"/>
          <w:szCs w:val="32"/>
        </w:rPr>
        <w:t>148,600</w:t>
      </w:r>
      <w:r>
        <w:rPr>
          <w:rFonts w:ascii="Times New Roman" w:hAnsi="Times New Roman" w:eastAsia="仿宋_GB2312" w:cs="Times New Roman"/>
          <w:sz w:val="32"/>
          <w:szCs w:val="32"/>
        </w:rPr>
        <w:t>万元，专项债务余额</w:t>
      </w:r>
      <w:r>
        <w:rPr>
          <w:rFonts w:hint="eastAsia" w:ascii="Times New Roman" w:hAnsi="Times New Roman" w:eastAsia="仿宋_GB2312" w:cs="Times New Roman"/>
          <w:sz w:val="32"/>
          <w:szCs w:val="32"/>
        </w:rPr>
        <w:t>68</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rPr>
        <w:t>0</w:t>
      </w:r>
      <w:r>
        <w:rPr>
          <w:rFonts w:ascii="Times New Roman" w:hAnsi="Times New Roman" w:eastAsia="仿宋_GB2312" w:cs="Times New Roman"/>
          <w:sz w:val="32"/>
          <w:szCs w:val="32"/>
        </w:rPr>
        <w:t>00万元。我区债务余额在上级部门核定的债务限额内，法定债务率在警戒线内，债务风险较低。</w:t>
      </w:r>
    </w:p>
    <w:p>
      <w:pPr>
        <w:spacing w:line="576" w:lineRule="exact"/>
        <w:ind w:firstLine="70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202</w:t>
      </w:r>
      <w:r>
        <w:rPr>
          <w:rFonts w:hint="eastAsia" w:ascii="Times New Roman" w:hAnsi="Times New Roman" w:eastAsia="仿宋_GB2312" w:cs="Times New Roman"/>
          <w:sz w:val="32"/>
          <w:szCs w:val="32"/>
        </w:rPr>
        <w:t>3</w:t>
      </w:r>
      <w:r>
        <w:rPr>
          <w:rFonts w:ascii="Times New Roman" w:hAnsi="Times New Roman" w:eastAsia="仿宋_GB2312" w:cs="Times New Roman"/>
          <w:sz w:val="32"/>
          <w:szCs w:val="32"/>
        </w:rPr>
        <w:t>年，我区新增地方政府债券资金</w:t>
      </w:r>
      <w:r>
        <w:rPr>
          <w:rFonts w:hint="eastAsia" w:ascii="Times New Roman" w:hAnsi="Times New Roman" w:eastAsia="仿宋_GB2312" w:cs="Times New Roman"/>
          <w:sz w:val="32"/>
          <w:szCs w:val="32"/>
        </w:rPr>
        <w:t>24</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rPr>
        <w:t>8</w:t>
      </w:r>
      <w:r>
        <w:rPr>
          <w:rFonts w:ascii="Times New Roman" w:hAnsi="Times New Roman" w:eastAsia="仿宋_GB2312" w:cs="Times New Roman"/>
          <w:sz w:val="32"/>
          <w:szCs w:val="32"/>
        </w:rPr>
        <w:t>00万元</w:t>
      </w:r>
      <w:r>
        <w:rPr>
          <w:rFonts w:hint="eastAsia" w:ascii="Times New Roman" w:hAnsi="Times New Roman" w:eastAsia="仿宋_GB2312" w:cs="Times New Roman"/>
          <w:sz w:val="32"/>
          <w:szCs w:val="32"/>
        </w:rPr>
        <w:t>，其中：</w:t>
      </w:r>
      <w:r>
        <w:rPr>
          <w:rFonts w:ascii="Times New Roman" w:hAnsi="Times New Roman" w:eastAsia="仿宋_GB2312" w:cs="Times New Roman"/>
          <w:sz w:val="32"/>
          <w:szCs w:val="32"/>
        </w:rPr>
        <w:t>新增一般债券资金</w:t>
      </w:r>
      <w:r>
        <w:rPr>
          <w:rFonts w:hint="eastAsia" w:ascii="Times New Roman" w:hAnsi="Times New Roman" w:eastAsia="仿宋_GB2312" w:cs="Times New Roman"/>
          <w:sz w:val="32"/>
          <w:szCs w:val="32"/>
        </w:rPr>
        <w:t>8</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rPr>
        <w:t>1</w:t>
      </w:r>
      <w:r>
        <w:rPr>
          <w:rFonts w:ascii="Times New Roman" w:hAnsi="Times New Roman" w:eastAsia="仿宋_GB2312" w:cs="Times New Roman"/>
          <w:sz w:val="32"/>
          <w:szCs w:val="32"/>
        </w:rPr>
        <w:t>00万元，</w:t>
      </w:r>
      <w:r>
        <w:rPr>
          <w:rFonts w:hint="eastAsia" w:ascii="Times New Roman" w:hAnsi="Times New Roman" w:eastAsia="仿宋_GB2312" w:cs="Times New Roman"/>
          <w:sz w:val="32"/>
          <w:szCs w:val="32"/>
        </w:rPr>
        <w:t>特殊再融资一般债券资金400万元，</w:t>
      </w:r>
      <w:r>
        <w:rPr>
          <w:rFonts w:ascii="Times New Roman" w:hAnsi="Times New Roman" w:eastAsia="仿宋_GB2312" w:cs="Times New Roman"/>
          <w:sz w:val="32"/>
          <w:szCs w:val="32"/>
        </w:rPr>
        <w:t>新增专项债券资金</w:t>
      </w:r>
      <w:r>
        <w:rPr>
          <w:rFonts w:hint="eastAsia" w:ascii="Times New Roman" w:hAnsi="Times New Roman" w:eastAsia="仿宋_GB2312" w:cs="Times New Roman"/>
          <w:sz w:val="32"/>
          <w:szCs w:val="32"/>
        </w:rPr>
        <w:t>16</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rPr>
        <w:t>3</w:t>
      </w:r>
      <w:r>
        <w:rPr>
          <w:rFonts w:ascii="Times New Roman" w:hAnsi="Times New Roman" w:eastAsia="仿宋_GB2312" w:cs="Times New Roman"/>
          <w:sz w:val="32"/>
          <w:szCs w:val="32"/>
        </w:rPr>
        <w:t>00万元。</w:t>
      </w:r>
    </w:p>
    <w:p>
      <w:pPr>
        <w:spacing w:line="576" w:lineRule="exact"/>
        <w:ind w:firstLine="700" w:firstLineChars="200"/>
        <w:rPr>
          <w:rFonts w:ascii="Times New Roman" w:hAnsi="Times New Roman" w:eastAsia="仿宋_GB2312" w:cs="Times New Roman"/>
          <w:sz w:val="32"/>
          <w:szCs w:val="32"/>
        </w:rPr>
      </w:pPr>
      <w:r>
        <w:rPr>
          <w:rFonts w:ascii="Times New Roman" w:hAnsi="Times New Roman" w:eastAsia="仿宋_GB2312" w:cs="Times New Roman"/>
          <w:b/>
          <w:sz w:val="32"/>
          <w:szCs w:val="32"/>
        </w:rPr>
        <w:t>1.政府债务结构。</w:t>
      </w:r>
      <w:r>
        <w:rPr>
          <w:rFonts w:ascii="Times New Roman" w:hAnsi="Times New Roman" w:eastAsia="仿宋_GB2312" w:cs="Times New Roman"/>
          <w:sz w:val="32"/>
          <w:szCs w:val="32"/>
        </w:rPr>
        <w:t>截</w:t>
      </w:r>
      <w:r>
        <w:rPr>
          <w:rFonts w:hint="eastAsia" w:ascii="Times New Roman" w:hAnsi="Times New Roman" w:eastAsia="仿宋_GB2312" w:cs="Times New Roman"/>
          <w:sz w:val="32"/>
          <w:szCs w:val="32"/>
        </w:rPr>
        <w:t>至</w:t>
      </w:r>
      <w:r>
        <w:rPr>
          <w:rFonts w:ascii="Times New Roman" w:hAnsi="Times New Roman" w:eastAsia="仿宋_GB2312" w:cs="Times New Roman"/>
          <w:sz w:val="32"/>
          <w:szCs w:val="32"/>
        </w:rPr>
        <w:t>202</w:t>
      </w:r>
      <w:r>
        <w:rPr>
          <w:rFonts w:hint="eastAsia" w:ascii="Times New Roman" w:hAnsi="Times New Roman" w:eastAsia="仿宋_GB2312" w:cs="Times New Roman"/>
          <w:sz w:val="32"/>
          <w:szCs w:val="32"/>
        </w:rPr>
        <w:t>3</w:t>
      </w:r>
      <w:r>
        <w:rPr>
          <w:rFonts w:ascii="Times New Roman" w:hAnsi="Times New Roman" w:eastAsia="仿宋_GB2312" w:cs="Times New Roman"/>
          <w:sz w:val="32"/>
          <w:szCs w:val="32"/>
        </w:rPr>
        <w:t>年末，区本级政府债务余额</w:t>
      </w:r>
      <w:r>
        <w:rPr>
          <w:rFonts w:hint="eastAsia" w:ascii="Times New Roman" w:hAnsi="Times New Roman" w:eastAsia="仿宋_GB2312" w:cs="Times New Roman"/>
          <w:sz w:val="32"/>
          <w:szCs w:val="32"/>
        </w:rPr>
        <w:t>116</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rPr>
        <w:t>000</w:t>
      </w:r>
      <w:r>
        <w:rPr>
          <w:rFonts w:ascii="Times New Roman" w:hAnsi="Times New Roman" w:eastAsia="仿宋_GB2312" w:cs="Times New Roman"/>
          <w:sz w:val="32"/>
          <w:szCs w:val="32"/>
        </w:rPr>
        <w:t>万元，占全部债务余额的</w:t>
      </w:r>
      <w:r>
        <w:rPr>
          <w:rFonts w:hint="eastAsia" w:ascii="Times New Roman" w:hAnsi="Times New Roman" w:eastAsia="仿宋_GB2312" w:cs="Times New Roman"/>
          <w:sz w:val="32"/>
          <w:szCs w:val="32"/>
        </w:rPr>
        <w:t>53.6</w:t>
      </w:r>
      <w:r>
        <w:rPr>
          <w:rFonts w:ascii="Times New Roman" w:hAnsi="Times New Roman" w:eastAsia="仿宋_GB2312" w:cs="Times New Roman"/>
          <w:sz w:val="32"/>
          <w:szCs w:val="32"/>
        </w:rPr>
        <w:t>%；市里统筹使用我区债务限额空间，举借的债务余额100,600万元，占全部债务余额的</w:t>
      </w:r>
      <w:r>
        <w:rPr>
          <w:rFonts w:hint="eastAsia" w:ascii="Times New Roman" w:hAnsi="Times New Roman" w:eastAsia="仿宋_GB2312" w:cs="Times New Roman"/>
          <w:sz w:val="32"/>
          <w:szCs w:val="32"/>
        </w:rPr>
        <w:t>46.4</w:t>
      </w:r>
      <w:r>
        <w:rPr>
          <w:rFonts w:ascii="Times New Roman" w:hAnsi="Times New Roman" w:eastAsia="仿宋_GB2312" w:cs="Times New Roman"/>
          <w:sz w:val="32"/>
          <w:szCs w:val="32"/>
        </w:rPr>
        <w:t>%。</w:t>
      </w:r>
    </w:p>
    <w:p>
      <w:pPr>
        <w:spacing w:line="576" w:lineRule="exact"/>
        <w:ind w:firstLine="700" w:firstLineChars="200"/>
        <w:rPr>
          <w:rFonts w:ascii="Times New Roman" w:hAnsi="Times New Roman" w:eastAsia="仿宋_GB2312" w:cs="Times New Roman"/>
          <w:sz w:val="29"/>
          <w:szCs w:val="29"/>
        </w:rPr>
      </w:pPr>
      <w:r>
        <w:rPr>
          <w:rFonts w:ascii="Times New Roman" w:hAnsi="Times New Roman" w:eastAsia="仿宋_GB2312" w:cs="Times New Roman"/>
          <w:b/>
          <w:sz w:val="32"/>
          <w:szCs w:val="32"/>
        </w:rPr>
        <w:t>2.政府债务使用方向。</w:t>
      </w:r>
      <w:r>
        <w:rPr>
          <w:rFonts w:ascii="Times New Roman" w:hAnsi="Times New Roman" w:eastAsia="仿宋_GB2312" w:cs="Times New Roman"/>
          <w:sz w:val="32"/>
          <w:szCs w:val="32"/>
        </w:rPr>
        <w:t>卫生健康体系建设</w:t>
      </w:r>
      <w:r>
        <w:rPr>
          <w:rFonts w:hint="eastAsia" w:ascii="Times New Roman" w:hAnsi="Times New Roman" w:eastAsia="仿宋_GB2312" w:cs="Times New Roman"/>
          <w:sz w:val="32"/>
          <w:szCs w:val="32"/>
        </w:rPr>
        <w:t>21</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rPr>
        <w:t>065</w:t>
      </w:r>
      <w:r>
        <w:rPr>
          <w:rFonts w:ascii="Times New Roman" w:hAnsi="Times New Roman" w:eastAsia="仿宋_GB2312" w:cs="Times New Roman"/>
          <w:sz w:val="32"/>
          <w:szCs w:val="32"/>
        </w:rPr>
        <w:t>万元、城市垃圾处理</w:t>
      </w:r>
      <w:r>
        <w:rPr>
          <w:rFonts w:hint="eastAsia" w:ascii="Times New Roman" w:hAnsi="Times New Roman" w:eastAsia="仿宋_GB2312" w:cs="Times New Roman"/>
          <w:sz w:val="32"/>
          <w:szCs w:val="32"/>
        </w:rPr>
        <w:t>36</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rPr>
        <w:t>850</w:t>
      </w:r>
      <w:r>
        <w:rPr>
          <w:rFonts w:ascii="Times New Roman" w:hAnsi="Times New Roman" w:eastAsia="仿宋_GB2312" w:cs="Times New Roman"/>
          <w:sz w:val="32"/>
          <w:szCs w:val="32"/>
        </w:rPr>
        <w:t>万元、老旧小区改造</w:t>
      </w:r>
      <w:r>
        <w:rPr>
          <w:rFonts w:hint="eastAsia" w:ascii="Times New Roman" w:hAnsi="Times New Roman" w:eastAsia="仿宋_GB2312" w:cs="Times New Roman"/>
          <w:sz w:val="32"/>
          <w:szCs w:val="32"/>
        </w:rPr>
        <w:t>32</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rPr>
        <w:t>835</w:t>
      </w:r>
      <w:r>
        <w:rPr>
          <w:rFonts w:ascii="Times New Roman" w:hAnsi="Times New Roman" w:eastAsia="仿宋_GB2312" w:cs="Times New Roman"/>
          <w:sz w:val="32"/>
          <w:szCs w:val="32"/>
        </w:rPr>
        <w:t>万元、教育学校建设</w:t>
      </w:r>
      <w:r>
        <w:rPr>
          <w:rFonts w:hint="eastAsia" w:ascii="Times New Roman" w:hAnsi="Times New Roman" w:eastAsia="仿宋_GB2312" w:cs="Times New Roman"/>
          <w:sz w:val="32"/>
          <w:szCs w:val="32"/>
        </w:rPr>
        <w:t>21</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rPr>
        <w:t>55</w:t>
      </w:r>
      <w:r>
        <w:rPr>
          <w:rFonts w:ascii="Times New Roman" w:hAnsi="Times New Roman" w:eastAsia="仿宋_GB2312" w:cs="Times New Roman"/>
          <w:sz w:val="32"/>
          <w:szCs w:val="32"/>
        </w:rPr>
        <w:t>0万元、应急（消防）中心建设</w:t>
      </w:r>
      <w:r>
        <w:rPr>
          <w:rFonts w:hint="eastAsia" w:ascii="Times New Roman" w:hAnsi="Times New Roman" w:eastAsia="仿宋_GB2312" w:cs="Times New Roman"/>
          <w:sz w:val="32"/>
          <w:szCs w:val="32"/>
        </w:rPr>
        <w:t>3,3</w:t>
      </w:r>
      <w:r>
        <w:rPr>
          <w:rFonts w:ascii="Times New Roman" w:hAnsi="Times New Roman" w:eastAsia="仿宋_GB2312" w:cs="Times New Roman"/>
          <w:sz w:val="32"/>
          <w:szCs w:val="32"/>
        </w:rPr>
        <w:t>00万元</w:t>
      </w:r>
      <w:r>
        <w:rPr>
          <w:rFonts w:hint="eastAsia" w:ascii="Times New Roman" w:hAnsi="Times New Roman" w:eastAsia="仿宋_GB2312" w:cs="Times New Roman"/>
          <w:sz w:val="32"/>
          <w:szCs w:val="32"/>
        </w:rPr>
        <w:t>、偿还企业账款400万元</w:t>
      </w:r>
      <w:r>
        <w:rPr>
          <w:rFonts w:ascii="Times New Roman" w:hAnsi="Times New Roman" w:eastAsia="仿宋_GB2312" w:cs="Times New Roman"/>
          <w:sz w:val="32"/>
          <w:szCs w:val="32"/>
        </w:rPr>
        <w:t>。</w:t>
      </w:r>
    </w:p>
    <w:p>
      <w:pPr>
        <w:spacing w:line="576" w:lineRule="exact"/>
        <w:ind w:firstLine="700" w:firstLineChars="200"/>
        <w:rPr>
          <w:rFonts w:ascii="Times New Roman" w:hAnsi="Times New Roman" w:eastAsia="楷体" w:cs="Times New Roman"/>
          <w:sz w:val="32"/>
          <w:szCs w:val="32"/>
        </w:rPr>
      </w:pPr>
      <w:r>
        <w:rPr>
          <w:rFonts w:ascii="Times New Roman" w:hAnsi="Times New Roman" w:eastAsia="楷体" w:cs="Times New Roman"/>
          <w:sz w:val="32"/>
          <w:szCs w:val="32"/>
        </w:rPr>
        <w:t>（</w:t>
      </w:r>
      <w:r>
        <w:rPr>
          <w:rFonts w:hint="eastAsia" w:ascii="Times New Roman" w:hAnsi="Times New Roman" w:eastAsia="楷体" w:cs="Times New Roman"/>
          <w:sz w:val="32"/>
          <w:szCs w:val="32"/>
        </w:rPr>
        <w:t>四</w:t>
      </w:r>
      <w:r>
        <w:rPr>
          <w:rFonts w:ascii="Times New Roman" w:hAnsi="Times New Roman" w:eastAsia="楷体" w:cs="Times New Roman"/>
          <w:sz w:val="32"/>
          <w:szCs w:val="32"/>
        </w:rPr>
        <w:t>）区级</w:t>
      </w:r>
      <w:r>
        <w:rPr>
          <w:rFonts w:hint="eastAsia" w:ascii="Times New Roman" w:hAnsi="Times New Roman" w:eastAsia="楷体" w:cs="Times New Roman"/>
          <w:sz w:val="32"/>
          <w:szCs w:val="32"/>
        </w:rPr>
        <w:t>预算绩效工作推进情况</w:t>
      </w:r>
    </w:p>
    <w:p>
      <w:pPr>
        <w:spacing w:line="576" w:lineRule="exact"/>
        <w:ind w:firstLine="70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全区预算绩效管理工作结合财政工作新形势、新要求，</w:t>
      </w:r>
      <w:r>
        <w:rPr>
          <w:rFonts w:hint="eastAsia" w:eastAsia="仿宋_GB2312"/>
          <w:spacing w:val="14"/>
          <w:sz w:val="32"/>
          <w:szCs w:val="32"/>
        </w:rPr>
        <w:t>转发了《长春市市级预算绩效目标管理实施办法》和《长春市市级项目支出绩效评价和结果应用管理实施办法》，进一步明确了各预算部门和财政部门职责分工及工作规程，不断提高预算绩效目标管理的科学性、规范性和有效性，不断规范项目支出绩效评价和结果应用管理，持续强化财政资源配置效率和资金使用效益，不断完善</w:t>
      </w:r>
      <w:r>
        <w:rPr>
          <w:rFonts w:hint="eastAsia" w:ascii="Times New Roman" w:hAnsi="Times New Roman" w:eastAsia="仿宋_GB2312" w:cs="Times New Roman"/>
          <w:sz w:val="32"/>
          <w:szCs w:val="32"/>
        </w:rPr>
        <w:t>全方位、全过程、全覆盖的预算绩效管理体系。同时，</w:t>
      </w:r>
      <w:r>
        <w:rPr>
          <w:rFonts w:eastAsia="仿宋_GB2312"/>
          <w:spacing w:val="14"/>
          <w:sz w:val="32"/>
          <w:szCs w:val="32"/>
        </w:rPr>
        <w:t>开展上年度部门整体支出和项目支出绩效自评，对绩效目标与预算执行实行双监控，</w:t>
      </w:r>
      <w:r>
        <w:rPr>
          <w:rFonts w:hint="eastAsia" w:eastAsia="仿宋_GB2312"/>
          <w:spacing w:val="14"/>
          <w:sz w:val="32"/>
          <w:szCs w:val="32"/>
        </w:rPr>
        <w:t>不断提升</w:t>
      </w:r>
      <w:r>
        <w:rPr>
          <w:rFonts w:eastAsia="仿宋_GB2312"/>
          <w:spacing w:val="14"/>
          <w:sz w:val="32"/>
          <w:szCs w:val="32"/>
        </w:rPr>
        <w:t>绩效自评、绩效监控在预算执行中的实效水平。</w:t>
      </w:r>
    </w:p>
    <w:p>
      <w:pPr>
        <w:spacing w:line="576" w:lineRule="exact"/>
        <w:ind w:firstLine="700" w:firstLineChars="200"/>
        <w:rPr>
          <w:rFonts w:ascii="Times New Roman" w:hAnsi="Times New Roman" w:eastAsia="楷体" w:cs="Times New Roman"/>
          <w:sz w:val="32"/>
          <w:szCs w:val="32"/>
        </w:rPr>
      </w:pPr>
      <w:r>
        <w:rPr>
          <w:rFonts w:ascii="Times New Roman" w:hAnsi="Times New Roman" w:eastAsia="楷体" w:cs="Times New Roman"/>
          <w:sz w:val="32"/>
          <w:szCs w:val="32"/>
        </w:rPr>
        <w:t>（</w:t>
      </w:r>
      <w:r>
        <w:rPr>
          <w:rFonts w:hint="eastAsia" w:ascii="Times New Roman" w:hAnsi="Times New Roman" w:eastAsia="楷体" w:cs="Times New Roman"/>
          <w:sz w:val="32"/>
          <w:szCs w:val="32"/>
        </w:rPr>
        <w:t>五</w:t>
      </w:r>
      <w:r>
        <w:rPr>
          <w:rFonts w:ascii="Times New Roman" w:hAnsi="Times New Roman" w:eastAsia="楷体" w:cs="Times New Roman"/>
          <w:sz w:val="32"/>
          <w:szCs w:val="32"/>
        </w:rPr>
        <w:t>）审计决定落实情况</w:t>
      </w:r>
    </w:p>
    <w:p>
      <w:pPr>
        <w:spacing w:line="576" w:lineRule="exact"/>
        <w:ind w:firstLine="70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2024年</w:t>
      </w:r>
      <w:r>
        <w:rPr>
          <w:rFonts w:hint="eastAsia" w:ascii="Times New Roman" w:hAnsi="Times New Roman" w:eastAsia="仿宋_GB2312" w:cs="Times New Roman"/>
          <w:sz w:val="32"/>
          <w:szCs w:val="32"/>
        </w:rPr>
        <w:t>3</w:t>
      </w:r>
      <w:r>
        <w:rPr>
          <w:rFonts w:ascii="Times New Roman" w:hAnsi="Times New Roman" w:eastAsia="仿宋_GB2312" w:cs="Times New Roman"/>
          <w:sz w:val="32"/>
          <w:szCs w:val="32"/>
        </w:rPr>
        <w:t>月，区审计局根据《中华人民共和国审计法》，对2023年区本级预算执行和其他财政收支情况进行了审计。财政部门对审计提出的问题进行了认真分析，研究了具体落实意见：</w:t>
      </w:r>
      <w:r>
        <w:rPr>
          <w:rFonts w:hint="eastAsia" w:ascii="Times New Roman" w:hAnsi="Times New Roman" w:eastAsia="仿宋_GB2312" w:cs="Times New Roman"/>
          <w:sz w:val="32"/>
          <w:szCs w:val="32"/>
        </w:rPr>
        <w:t>对</w:t>
      </w:r>
      <w:r>
        <w:rPr>
          <w:rFonts w:ascii="Times New Roman" w:hAnsi="Times New Roman" w:eastAsia="仿宋_GB2312" w:cs="Times New Roman"/>
          <w:sz w:val="32"/>
          <w:szCs w:val="32"/>
        </w:rPr>
        <w:t>国有资产出租收入滞留</w:t>
      </w:r>
      <w:r>
        <w:rPr>
          <w:rFonts w:hint="eastAsia" w:ascii="Times New Roman" w:hAnsi="Times New Roman" w:eastAsia="仿宋_GB2312" w:cs="Times New Roman"/>
          <w:sz w:val="32"/>
          <w:szCs w:val="32"/>
        </w:rPr>
        <w:t>问题</w:t>
      </w:r>
      <w:r>
        <w:rPr>
          <w:rFonts w:ascii="Times New Roman" w:hAnsi="Times New Roman" w:eastAsia="仿宋_GB2312" w:cs="Times New Roman"/>
          <w:sz w:val="32"/>
          <w:szCs w:val="32"/>
        </w:rPr>
        <w:t>，已立行立改</w:t>
      </w:r>
      <w:r>
        <w:rPr>
          <w:rFonts w:hint="eastAsia" w:ascii="Times New Roman" w:hAnsi="Times New Roman" w:eastAsia="仿宋_GB2312" w:cs="Times New Roman"/>
          <w:sz w:val="32"/>
          <w:szCs w:val="32"/>
        </w:rPr>
        <w:t>，实现了</w:t>
      </w:r>
      <w:r>
        <w:rPr>
          <w:rFonts w:ascii="Times New Roman" w:hAnsi="Times New Roman" w:eastAsia="仿宋_GB2312" w:cs="Times New Roman"/>
          <w:sz w:val="32"/>
          <w:szCs w:val="32"/>
        </w:rPr>
        <w:t>应缴尽缴</w:t>
      </w:r>
      <w:r>
        <w:rPr>
          <w:rFonts w:hint="eastAsia" w:ascii="Times New Roman" w:hAnsi="Times New Roman" w:eastAsia="仿宋_GB2312" w:cs="Times New Roman"/>
          <w:sz w:val="32"/>
          <w:szCs w:val="32"/>
        </w:rPr>
        <w:t xml:space="preserve"> </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rPr>
        <w:t>对2023年中</w:t>
      </w:r>
      <w:r>
        <w:rPr>
          <w:rFonts w:ascii="Times New Roman" w:hAnsi="Times New Roman" w:eastAsia="仿宋_GB2312" w:cs="Times New Roman"/>
          <w:sz w:val="32"/>
          <w:szCs w:val="32"/>
        </w:rPr>
        <w:t>央大气污染防治资金未及时拨付项目单位</w:t>
      </w:r>
      <w:r>
        <w:rPr>
          <w:rFonts w:hint="eastAsia" w:ascii="Times New Roman" w:hAnsi="Times New Roman" w:eastAsia="仿宋_GB2312" w:cs="Times New Roman"/>
          <w:sz w:val="32"/>
          <w:szCs w:val="32"/>
        </w:rPr>
        <w:t>问题</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rPr>
        <w:t>已督促项目</w:t>
      </w:r>
      <w:r>
        <w:rPr>
          <w:rFonts w:ascii="Times New Roman" w:hAnsi="Times New Roman" w:eastAsia="仿宋_GB2312" w:cs="Times New Roman"/>
          <w:sz w:val="32"/>
          <w:szCs w:val="32"/>
        </w:rPr>
        <w:t>主管部门</w:t>
      </w:r>
      <w:r>
        <w:rPr>
          <w:rFonts w:hint="eastAsia" w:ascii="Times New Roman" w:hAnsi="Times New Roman" w:eastAsia="仿宋_GB2312" w:cs="Times New Roman"/>
          <w:sz w:val="32"/>
          <w:szCs w:val="32"/>
        </w:rPr>
        <w:t>加快</w:t>
      </w:r>
      <w:r>
        <w:rPr>
          <w:rFonts w:ascii="Times New Roman" w:hAnsi="Times New Roman" w:eastAsia="仿宋_GB2312" w:cs="Times New Roman"/>
          <w:sz w:val="32"/>
          <w:szCs w:val="32"/>
        </w:rPr>
        <w:t>协调</w:t>
      </w:r>
      <w:r>
        <w:rPr>
          <w:rFonts w:hint="eastAsia" w:ascii="Times New Roman" w:hAnsi="Times New Roman" w:eastAsia="仿宋_GB2312" w:cs="Times New Roman"/>
          <w:sz w:val="32"/>
          <w:szCs w:val="32"/>
        </w:rPr>
        <w:t>推进项目建设，现已全部支付到位</w:t>
      </w:r>
      <w:r>
        <w:rPr>
          <w:rFonts w:ascii="Times New Roman" w:hAnsi="Times New Roman" w:eastAsia="仿宋_GB2312" w:cs="Times New Roman"/>
          <w:sz w:val="32"/>
          <w:szCs w:val="32"/>
        </w:rPr>
        <w:t>。</w:t>
      </w:r>
    </w:p>
    <w:p>
      <w:pPr>
        <w:spacing w:line="576" w:lineRule="exact"/>
        <w:ind w:firstLine="700" w:firstLineChars="200"/>
        <w:rPr>
          <w:rFonts w:ascii="Times New Roman" w:hAnsi="Times New Roman" w:eastAsia="黑体" w:cs="Times New Roman"/>
          <w:b/>
          <w:sz w:val="32"/>
          <w:szCs w:val="32"/>
        </w:rPr>
      </w:pPr>
      <w:r>
        <w:rPr>
          <w:rFonts w:ascii="Times New Roman" w:hAnsi="Times New Roman" w:eastAsia="黑体" w:cs="Times New Roman"/>
          <w:sz w:val="32"/>
          <w:szCs w:val="32"/>
        </w:rPr>
        <w:t>二、2024年上半年预算执行情况</w:t>
      </w:r>
    </w:p>
    <w:p>
      <w:pPr>
        <w:spacing w:line="576" w:lineRule="exact"/>
        <w:ind w:firstLine="700" w:firstLineChars="200"/>
        <w:rPr>
          <w:rFonts w:ascii="Times New Roman" w:hAnsi="Times New Roman" w:eastAsia="楷体" w:cs="Times New Roman"/>
          <w:sz w:val="32"/>
          <w:szCs w:val="32"/>
        </w:rPr>
      </w:pPr>
      <w:r>
        <w:rPr>
          <w:rFonts w:ascii="Times New Roman" w:hAnsi="Times New Roman" w:eastAsia="楷体" w:cs="Times New Roman"/>
          <w:sz w:val="32"/>
          <w:szCs w:val="32"/>
        </w:rPr>
        <w:t>（一）一般公共预算情况</w:t>
      </w:r>
    </w:p>
    <w:p>
      <w:pPr>
        <w:spacing w:line="576" w:lineRule="exact"/>
        <w:ind w:firstLine="700" w:firstLineChars="200"/>
        <w:rPr>
          <w:rFonts w:ascii="Times New Roman" w:hAnsi="Times New Roman" w:eastAsia="仿宋_GB2312" w:cs="Times New Roman"/>
          <w:sz w:val="32"/>
          <w:szCs w:val="32"/>
        </w:rPr>
      </w:pPr>
      <w:r>
        <w:rPr>
          <w:rFonts w:ascii="Times New Roman" w:hAnsi="Times New Roman" w:eastAsia="仿宋_GB2312" w:cs="Times New Roman"/>
          <w:b/>
          <w:sz w:val="32"/>
          <w:szCs w:val="32"/>
        </w:rPr>
        <w:t>收入方面，</w:t>
      </w:r>
      <w:r>
        <w:rPr>
          <w:rFonts w:ascii="Times New Roman" w:hAnsi="Times New Roman" w:eastAsia="仿宋_GB2312" w:cs="Times New Roman"/>
          <w:sz w:val="32"/>
          <w:szCs w:val="32"/>
        </w:rPr>
        <w:t>上半年，全区一般公共预算本级财政收入实现5</w:t>
      </w:r>
      <w:r>
        <w:rPr>
          <w:rFonts w:hint="eastAsia" w:ascii="Times New Roman" w:hAnsi="Times New Roman" w:eastAsia="仿宋_GB2312" w:cs="Times New Roman"/>
          <w:sz w:val="32"/>
          <w:szCs w:val="32"/>
        </w:rPr>
        <w:t>7</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rPr>
        <w:t>537</w:t>
      </w:r>
      <w:r>
        <w:rPr>
          <w:rFonts w:ascii="Times New Roman" w:hAnsi="Times New Roman" w:eastAsia="仿宋_GB2312" w:cs="Times New Roman"/>
          <w:sz w:val="32"/>
          <w:szCs w:val="32"/>
        </w:rPr>
        <w:t>万元，完成计划的</w:t>
      </w:r>
      <w:r>
        <w:rPr>
          <w:rFonts w:hint="eastAsia" w:ascii="Times New Roman" w:hAnsi="Times New Roman" w:eastAsia="仿宋_GB2312" w:cs="Times New Roman"/>
          <w:sz w:val="32"/>
          <w:szCs w:val="32"/>
        </w:rPr>
        <w:t>52.2</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rPr>
        <w:t>可比口径</w:t>
      </w:r>
      <w:r>
        <w:rPr>
          <w:rFonts w:ascii="Times New Roman" w:hAnsi="Times New Roman" w:eastAsia="仿宋_GB2312" w:cs="Times New Roman"/>
          <w:sz w:val="32"/>
          <w:szCs w:val="32"/>
        </w:rPr>
        <w:t>增长</w:t>
      </w:r>
      <w:r>
        <w:rPr>
          <w:rFonts w:hint="eastAsia" w:ascii="Times New Roman" w:hAnsi="Times New Roman" w:eastAsia="仿宋_GB2312" w:cs="Times New Roman"/>
          <w:sz w:val="32"/>
          <w:szCs w:val="32"/>
        </w:rPr>
        <w:t>8.5</w:t>
      </w:r>
      <w:r>
        <w:rPr>
          <w:rFonts w:ascii="Times New Roman" w:hAnsi="Times New Roman" w:eastAsia="仿宋_GB2312" w:cs="Times New Roman"/>
          <w:sz w:val="32"/>
          <w:szCs w:val="32"/>
        </w:rPr>
        <w:t>%。</w:t>
      </w:r>
    </w:p>
    <w:p>
      <w:pPr>
        <w:spacing w:line="576" w:lineRule="exact"/>
        <w:ind w:firstLine="700" w:firstLineChars="200"/>
        <w:rPr>
          <w:rFonts w:ascii="Times New Roman" w:hAnsi="Times New Roman" w:eastAsia="仿宋_GB2312" w:cs="Times New Roman"/>
          <w:sz w:val="32"/>
          <w:szCs w:val="32"/>
        </w:rPr>
      </w:pPr>
      <w:r>
        <w:rPr>
          <w:rFonts w:ascii="Times New Roman" w:hAnsi="Times New Roman" w:eastAsia="仿宋_GB2312" w:cs="Times New Roman"/>
          <w:b/>
          <w:sz w:val="32"/>
          <w:szCs w:val="32"/>
        </w:rPr>
        <w:t>支出方面，</w:t>
      </w:r>
      <w:r>
        <w:rPr>
          <w:rFonts w:ascii="Times New Roman" w:hAnsi="Times New Roman" w:eastAsia="仿宋_GB2312" w:cs="Times New Roman"/>
          <w:color w:val="000000"/>
          <w:sz w:val="32"/>
          <w:szCs w:val="32"/>
        </w:rPr>
        <w:t>上半年，全区</w:t>
      </w:r>
      <w:r>
        <w:rPr>
          <w:rFonts w:ascii="Times New Roman" w:hAnsi="Times New Roman" w:eastAsia="仿宋_GB2312" w:cs="Times New Roman"/>
          <w:sz w:val="32"/>
          <w:szCs w:val="32"/>
        </w:rPr>
        <w:t>一般公共预算</w:t>
      </w:r>
      <w:r>
        <w:rPr>
          <w:rFonts w:ascii="Times New Roman" w:hAnsi="Times New Roman" w:eastAsia="仿宋_GB2312" w:cs="Times New Roman"/>
          <w:color w:val="000000"/>
          <w:sz w:val="32"/>
          <w:szCs w:val="32"/>
        </w:rPr>
        <w:t>支出12</w:t>
      </w:r>
      <w:r>
        <w:rPr>
          <w:rFonts w:hint="eastAsia" w:ascii="Times New Roman" w:hAnsi="Times New Roman" w:eastAsia="仿宋_GB2312" w:cs="Times New Roman"/>
          <w:color w:val="000000"/>
          <w:sz w:val="32"/>
          <w:szCs w:val="32"/>
        </w:rPr>
        <w:t>6</w:t>
      </w:r>
      <w:r>
        <w:rPr>
          <w:rFonts w:ascii="Times New Roman" w:hAnsi="Times New Roman" w:eastAsia="仿宋_GB2312" w:cs="Times New Roman"/>
          <w:color w:val="000000"/>
          <w:sz w:val="32"/>
          <w:szCs w:val="32"/>
        </w:rPr>
        <w:t>,</w:t>
      </w:r>
      <w:r>
        <w:rPr>
          <w:rFonts w:hint="eastAsia" w:ascii="Times New Roman" w:hAnsi="Times New Roman" w:eastAsia="仿宋_GB2312" w:cs="Times New Roman"/>
          <w:color w:val="000000"/>
          <w:sz w:val="32"/>
          <w:szCs w:val="32"/>
        </w:rPr>
        <w:t>217</w:t>
      </w:r>
      <w:r>
        <w:rPr>
          <w:rFonts w:ascii="Times New Roman" w:hAnsi="Times New Roman" w:eastAsia="仿宋_GB2312" w:cs="Times New Roman"/>
          <w:color w:val="000000"/>
          <w:sz w:val="32"/>
          <w:szCs w:val="32"/>
        </w:rPr>
        <w:t>万元，完成计划的</w:t>
      </w:r>
      <w:r>
        <w:rPr>
          <w:rFonts w:hint="eastAsia" w:ascii="Times New Roman" w:hAnsi="Times New Roman" w:eastAsia="仿宋_GB2312" w:cs="Times New Roman"/>
          <w:color w:val="000000"/>
          <w:sz w:val="32"/>
          <w:szCs w:val="32"/>
        </w:rPr>
        <w:t>45.1</w:t>
      </w:r>
      <w:r>
        <w:rPr>
          <w:rFonts w:ascii="Times New Roman" w:hAnsi="Times New Roman" w:eastAsia="仿宋_GB2312" w:cs="Times New Roman"/>
          <w:color w:val="000000"/>
          <w:sz w:val="32"/>
          <w:szCs w:val="32"/>
        </w:rPr>
        <w:t>%，同比增长</w:t>
      </w:r>
      <w:r>
        <w:rPr>
          <w:rFonts w:hint="eastAsia" w:ascii="Times New Roman" w:hAnsi="Times New Roman" w:eastAsia="仿宋_GB2312" w:cs="Times New Roman"/>
          <w:color w:val="000000"/>
          <w:sz w:val="32"/>
          <w:szCs w:val="32"/>
        </w:rPr>
        <w:t>0.</w:t>
      </w:r>
      <w:r>
        <w:rPr>
          <w:rFonts w:ascii="Times New Roman" w:hAnsi="Times New Roman" w:eastAsia="仿宋_GB2312" w:cs="Times New Roman"/>
          <w:color w:val="000000"/>
          <w:sz w:val="32"/>
          <w:szCs w:val="32"/>
        </w:rPr>
        <w:t>5%。</w:t>
      </w:r>
    </w:p>
    <w:p>
      <w:pPr>
        <w:spacing w:line="576" w:lineRule="exact"/>
        <w:ind w:firstLine="700" w:firstLineChars="200"/>
        <w:rPr>
          <w:rFonts w:ascii="Times New Roman" w:hAnsi="Times New Roman" w:eastAsia="楷体" w:cs="Times New Roman"/>
          <w:sz w:val="32"/>
          <w:szCs w:val="32"/>
        </w:rPr>
      </w:pPr>
      <w:r>
        <w:rPr>
          <w:rFonts w:ascii="Times New Roman" w:hAnsi="Times New Roman" w:eastAsia="楷体" w:cs="Times New Roman"/>
          <w:sz w:val="32"/>
          <w:szCs w:val="32"/>
        </w:rPr>
        <w:t>（二）政府性基金预算情况</w:t>
      </w:r>
    </w:p>
    <w:p>
      <w:pPr>
        <w:spacing w:line="576" w:lineRule="exact"/>
        <w:ind w:firstLine="700" w:firstLineChars="200"/>
        <w:rPr>
          <w:rFonts w:ascii="Times New Roman" w:hAnsi="Times New Roman" w:eastAsia="仿宋_GB2312" w:cs="Times New Roman"/>
          <w:sz w:val="32"/>
          <w:szCs w:val="32"/>
        </w:rPr>
      </w:pPr>
      <w:r>
        <w:rPr>
          <w:rFonts w:ascii="Times New Roman" w:hAnsi="Times New Roman" w:eastAsia="仿宋_GB2312" w:cs="Times New Roman"/>
          <w:b/>
          <w:bCs/>
          <w:color w:val="000000"/>
          <w:sz w:val="32"/>
          <w:szCs w:val="32"/>
        </w:rPr>
        <w:t>收入方面</w:t>
      </w:r>
      <w:r>
        <w:rPr>
          <w:rFonts w:ascii="Times New Roman" w:hAnsi="Times New Roman" w:eastAsia="仿宋_GB2312" w:cs="Times New Roman"/>
          <w:color w:val="000000"/>
          <w:sz w:val="32"/>
          <w:szCs w:val="32"/>
        </w:rPr>
        <w:t>，上半年，</w:t>
      </w:r>
      <w:r>
        <w:rPr>
          <w:rFonts w:ascii="Times New Roman" w:hAnsi="Times New Roman" w:eastAsia="仿宋_GB2312" w:cs="Times New Roman"/>
          <w:sz w:val="32"/>
          <w:szCs w:val="32"/>
        </w:rPr>
        <w:t>全区政府性基金收入实现</w:t>
      </w:r>
      <w:r>
        <w:rPr>
          <w:rFonts w:hint="eastAsia" w:ascii="Times New Roman" w:hAnsi="Times New Roman" w:eastAsia="仿宋_GB2312" w:cs="Times New Roman"/>
          <w:sz w:val="32"/>
          <w:szCs w:val="32"/>
        </w:rPr>
        <w:t>125</w:t>
      </w:r>
      <w:r>
        <w:rPr>
          <w:rFonts w:ascii="Times New Roman" w:hAnsi="Times New Roman" w:eastAsia="仿宋_GB2312" w:cs="Times New Roman"/>
          <w:sz w:val="32"/>
          <w:szCs w:val="32"/>
        </w:rPr>
        <w:t>万元，</w:t>
      </w:r>
      <w:r>
        <w:rPr>
          <w:rFonts w:ascii="Times New Roman" w:hAnsi="Times New Roman" w:eastAsia="仿宋_GB2312" w:cs="Times New Roman"/>
          <w:color w:val="000000"/>
          <w:sz w:val="32"/>
          <w:szCs w:val="32"/>
        </w:rPr>
        <w:t>完成计划的</w:t>
      </w:r>
      <w:r>
        <w:rPr>
          <w:rFonts w:hint="eastAsia" w:ascii="Times New Roman" w:hAnsi="Times New Roman" w:eastAsia="仿宋_GB2312" w:cs="Times New Roman"/>
          <w:color w:val="000000"/>
          <w:sz w:val="32"/>
          <w:szCs w:val="32"/>
        </w:rPr>
        <w:t>5.7</w:t>
      </w:r>
      <w:r>
        <w:rPr>
          <w:rFonts w:ascii="Times New Roman" w:hAnsi="Times New Roman" w:eastAsia="仿宋_GB2312" w:cs="Times New Roman"/>
          <w:color w:val="000000"/>
          <w:sz w:val="32"/>
          <w:szCs w:val="32"/>
        </w:rPr>
        <w:t>%，</w:t>
      </w:r>
      <w:r>
        <w:rPr>
          <w:rFonts w:ascii="Times New Roman" w:hAnsi="Times New Roman" w:eastAsia="仿宋_GB2312" w:cs="Times New Roman"/>
          <w:sz w:val="32"/>
          <w:szCs w:val="32"/>
        </w:rPr>
        <w:t>同比</w:t>
      </w:r>
      <w:r>
        <w:rPr>
          <w:rFonts w:hint="eastAsia" w:ascii="Times New Roman" w:hAnsi="Times New Roman" w:eastAsia="仿宋_GB2312" w:cs="Times New Roman"/>
          <w:sz w:val="32"/>
          <w:szCs w:val="32"/>
        </w:rPr>
        <w:t>下降83.0%</w:t>
      </w:r>
      <w:r>
        <w:rPr>
          <w:rFonts w:ascii="Times New Roman" w:hAnsi="Times New Roman" w:eastAsia="仿宋_GB2312" w:cs="Times New Roman"/>
          <w:sz w:val="32"/>
          <w:szCs w:val="32"/>
        </w:rPr>
        <w:t>。</w:t>
      </w:r>
    </w:p>
    <w:p>
      <w:pPr>
        <w:spacing w:line="576" w:lineRule="exact"/>
        <w:ind w:firstLine="700" w:firstLineChars="200"/>
        <w:rPr>
          <w:rFonts w:ascii="Times New Roman" w:hAnsi="Times New Roman" w:eastAsia="仿宋_GB2312" w:cs="Times New Roman"/>
          <w:sz w:val="32"/>
          <w:szCs w:val="32"/>
        </w:rPr>
      </w:pPr>
      <w:r>
        <w:rPr>
          <w:rFonts w:ascii="Times New Roman" w:hAnsi="Times New Roman" w:eastAsia="仿宋_GB2312" w:cs="Times New Roman"/>
          <w:b/>
          <w:bCs/>
          <w:sz w:val="32"/>
          <w:szCs w:val="32"/>
        </w:rPr>
        <w:t>支出方面</w:t>
      </w:r>
      <w:r>
        <w:rPr>
          <w:rFonts w:ascii="Times New Roman" w:hAnsi="Times New Roman" w:eastAsia="仿宋_GB2312" w:cs="Times New Roman"/>
          <w:sz w:val="32"/>
          <w:szCs w:val="32"/>
        </w:rPr>
        <w:t>，上半年，全区政府性基金</w:t>
      </w:r>
      <w:r>
        <w:rPr>
          <w:rFonts w:ascii="Times New Roman" w:hAnsi="Times New Roman" w:eastAsia="仿宋_GB2312" w:cs="Times New Roman"/>
          <w:color w:val="000000"/>
          <w:sz w:val="32"/>
          <w:szCs w:val="32"/>
        </w:rPr>
        <w:t>支出</w:t>
      </w:r>
      <w:r>
        <w:rPr>
          <w:rFonts w:hint="eastAsia" w:ascii="Times New Roman" w:hAnsi="Times New Roman" w:eastAsia="仿宋_GB2312" w:cs="Times New Roman"/>
          <w:color w:val="000000"/>
          <w:sz w:val="32"/>
          <w:szCs w:val="32"/>
        </w:rPr>
        <w:t>2</w:t>
      </w:r>
      <w:r>
        <w:rPr>
          <w:rFonts w:ascii="Times New Roman" w:hAnsi="Times New Roman" w:eastAsia="仿宋_GB2312" w:cs="Times New Roman"/>
          <w:color w:val="000000"/>
          <w:sz w:val="32"/>
          <w:szCs w:val="32"/>
        </w:rPr>
        <w:t>,</w:t>
      </w:r>
      <w:r>
        <w:rPr>
          <w:rFonts w:hint="eastAsia" w:ascii="Times New Roman" w:hAnsi="Times New Roman" w:eastAsia="仿宋_GB2312" w:cs="Times New Roman"/>
          <w:color w:val="000000"/>
          <w:sz w:val="32"/>
          <w:szCs w:val="32"/>
        </w:rPr>
        <w:t>677</w:t>
      </w:r>
      <w:r>
        <w:rPr>
          <w:rFonts w:ascii="Times New Roman" w:hAnsi="Times New Roman" w:eastAsia="仿宋_GB2312" w:cs="Times New Roman"/>
          <w:color w:val="000000"/>
          <w:sz w:val="32"/>
          <w:szCs w:val="32"/>
        </w:rPr>
        <w:t>万元，完成计划的</w:t>
      </w:r>
      <w:r>
        <w:rPr>
          <w:rFonts w:hint="eastAsia" w:ascii="Times New Roman" w:hAnsi="Times New Roman" w:eastAsia="仿宋_GB2312" w:cs="Times New Roman"/>
          <w:color w:val="000000"/>
          <w:sz w:val="32"/>
          <w:szCs w:val="32"/>
        </w:rPr>
        <w:t>41.2</w:t>
      </w:r>
      <w:r>
        <w:rPr>
          <w:rFonts w:ascii="Times New Roman" w:hAnsi="Times New Roman" w:eastAsia="仿宋_GB2312" w:cs="Times New Roman"/>
          <w:color w:val="000000"/>
          <w:sz w:val="32"/>
          <w:szCs w:val="32"/>
        </w:rPr>
        <w:t>%，</w:t>
      </w:r>
      <w:r>
        <w:rPr>
          <w:rFonts w:ascii="Times New Roman" w:hAnsi="Times New Roman" w:eastAsia="仿宋_GB2312" w:cs="Times New Roman"/>
          <w:sz w:val="32"/>
          <w:szCs w:val="32"/>
        </w:rPr>
        <w:t>同比</w:t>
      </w:r>
      <w:r>
        <w:rPr>
          <w:rFonts w:hint="eastAsia" w:ascii="Times New Roman" w:hAnsi="Times New Roman" w:eastAsia="仿宋_GB2312" w:cs="Times New Roman"/>
          <w:sz w:val="32"/>
          <w:szCs w:val="32"/>
        </w:rPr>
        <w:t>下降68.4%</w:t>
      </w:r>
      <w:r>
        <w:rPr>
          <w:rFonts w:ascii="Times New Roman" w:hAnsi="Times New Roman" w:eastAsia="仿宋_GB2312" w:cs="Times New Roman"/>
          <w:color w:val="000000"/>
          <w:sz w:val="32"/>
          <w:szCs w:val="32"/>
        </w:rPr>
        <w:t>。</w:t>
      </w:r>
    </w:p>
    <w:p>
      <w:pPr>
        <w:spacing w:line="576" w:lineRule="exact"/>
        <w:ind w:firstLine="700" w:firstLineChars="200"/>
        <w:rPr>
          <w:rFonts w:ascii="Times New Roman" w:hAnsi="Times New Roman" w:eastAsia="楷体" w:cs="Times New Roman"/>
          <w:bCs/>
          <w:sz w:val="32"/>
          <w:szCs w:val="32"/>
        </w:rPr>
      </w:pPr>
      <w:r>
        <w:rPr>
          <w:rFonts w:ascii="Times New Roman" w:hAnsi="Times New Roman" w:eastAsia="楷体" w:cs="Times New Roman"/>
          <w:sz w:val="32"/>
          <w:szCs w:val="32"/>
        </w:rPr>
        <w:t>（三）</w:t>
      </w:r>
      <w:r>
        <w:rPr>
          <w:rFonts w:ascii="Times New Roman" w:hAnsi="Times New Roman" w:eastAsia="楷体" w:cs="Times New Roman"/>
          <w:bCs/>
          <w:sz w:val="32"/>
          <w:szCs w:val="32"/>
        </w:rPr>
        <w:t>预算执行特点</w:t>
      </w:r>
    </w:p>
    <w:p>
      <w:pPr>
        <w:spacing w:line="576" w:lineRule="exact"/>
        <w:ind w:firstLine="700" w:firstLineChars="200"/>
        <w:rPr>
          <w:rFonts w:hint="eastAsia" w:ascii="Times New Roman" w:hAnsi="宋体" w:eastAsia="仿宋_GB2312" w:cs="Times New Roman"/>
          <w:sz w:val="32"/>
          <w:szCs w:val="32"/>
        </w:rPr>
      </w:pPr>
      <w:r>
        <w:rPr>
          <w:rFonts w:hint="eastAsia" w:ascii="仿宋_GB2312" w:hAnsi="Times New Roman" w:eastAsia="仿宋_GB2312" w:cs="Times New Roman"/>
          <w:b/>
          <w:sz w:val="32"/>
          <w:szCs w:val="32"/>
        </w:rPr>
        <w:t>一是财政收入持续增长，但质量有所下滑。</w:t>
      </w:r>
      <w:r>
        <w:rPr>
          <w:rFonts w:ascii="Times New Roman" w:hAnsi="Times New Roman" w:eastAsia="仿宋_GB2312" w:cs="Times New Roman"/>
          <w:sz w:val="32"/>
          <w:szCs w:val="32"/>
        </w:rPr>
        <w:t>上半年</w:t>
      </w:r>
      <w:r>
        <w:rPr>
          <w:rFonts w:hint="eastAsia" w:ascii="Times New Roman" w:hAnsi="宋体" w:eastAsia="仿宋_GB2312" w:cs="Times New Roman"/>
          <w:sz w:val="32"/>
          <w:szCs w:val="32"/>
        </w:rPr>
        <w:t>，税收收入完成4.45亿元，可比口径增长2.1%；非税收入完成1.3亿元，同比增长37.8%，税收收入6月开始实现正增长，财政收入增长主要依赖罚没、国有资本有偿使用等一次性非税收入拉动，税收质量同比有所下滑。</w:t>
      </w:r>
    </w:p>
    <w:p>
      <w:pPr>
        <w:spacing w:line="576" w:lineRule="exact"/>
        <w:ind w:firstLine="700" w:firstLineChars="200"/>
        <w:jc w:val="left"/>
        <w:rPr>
          <w:rFonts w:ascii="Times New Roman" w:hAnsi="Times New Roman" w:eastAsia="仿宋_GB2312" w:cs="Times New Roman"/>
          <w:sz w:val="32"/>
          <w:szCs w:val="32"/>
        </w:rPr>
      </w:pPr>
      <w:r>
        <w:rPr>
          <w:rFonts w:ascii="仿宋_GB2312" w:hAnsi="Times New Roman" w:eastAsia="仿宋_GB2312" w:cs="Times New Roman"/>
          <w:b/>
          <w:sz w:val="32"/>
          <w:szCs w:val="32"/>
        </w:rPr>
        <w:t>二是</w:t>
      </w:r>
      <w:r>
        <w:rPr>
          <w:rFonts w:hint="eastAsia" w:ascii="仿宋_GB2312" w:hAnsi="Times New Roman" w:eastAsia="仿宋_GB2312" w:cs="Times New Roman"/>
          <w:b/>
          <w:sz w:val="32"/>
          <w:szCs w:val="32"/>
        </w:rPr>
        <w:t>财政支出保障有力，但</w:t>
      </w:r>
      <w:r>
        <w:rPr>
          <w:rFonts w:ascii="仿宋_GB2312" w:hAnsi="Times New Roman" w:eastAsia="仿宋_GB2312" w:cs="Times New Roman"/>
          <w:b/>
          <w:sz w:val="32"/>
          <w:szCs w:val="32"/>
        </w:rPr>
        <w:t>结构</w:t>
      </w:r>
      <w:r>
        <w:rPr>
          <w:rFonts w:hint="eastAsia" w:ascii="仿宋_GB2312" w:hAnsi="Times New Roman" w:eastAsia="仿宋_GB2312" w:cs="Times New Roman"/>
          <w:b/>
          <w:sz w:val="32"/>
          <w:szCs w:val="32"/>
        </w:rPr>
        <w:t>仍需优化。</w:t>
      </w:r>
      <w:r>
        <w:rPr>
          <w:rFonts w:ascii="Times New Roman" w:hAnsi="Times New Roman" w:eastAsia="仿宋_GB2312" w:cs="Times New Roman"/>
          <w:sz w:val="32"/>
          <w:szCs w:val="32"/>
        </w:rPr>
        <w:t>严格落实政府“过紧日子”要求，硬化预算约束，大力压缩一般性支出，腾挪出更多财力，</w:t>
      </w:r>
      <w:r>
        <w:rPr>
          <w:rFonts w:hint="eastAsia" w:ascii="Times New Roman" w:hAnsi="Times New Roman" w:eastAsia="仿宋_GB2312" w:cs="Times New Roman"/>
          <w:sz w:val="32"/>
          <w:szCs w:val="32"/>
        </w:rPr>
        <w:t>优先保障“三保”支出，并</w:t>
      </w:r>
      <w:r>
        <w:rPr>
          <w:rFonts w:ascii="Times New Roman" w:hAnsi="Times New Roman" w:eastAsia="仿宋_GB2312" w:cs="Times New Roman"/>
          <w:sz w:val="32"/>
          <w:szCs w:val="32"/>
        </w:rPr>
        <w:t>向重点领域倾斜</w:t>
      </w:r>
      <w:r>
        <w:rPr>
          <w:rFonts w:hint="eastAsia" w:ascii="Times New Roman" w:hAnsi="Times New Roman" w:eastAsia="仿宋_GB2312" w:cs="Times New Roman"/>
          <w:sz w:val="32"/>
          <w:szCs w:val="32"/>
        </w:rPr>
        <w:t>。</w:t>
      </w:r>
      <w:r>
        <w:rPr>
          <w:rFonts w:hint="eastAsia" w:ascii="仿宋_GB2312" w:hAnsi="Times New Roman" w:eastAsia="仿宋_GB2312" w:cs="Times New Roman"/>
          <w:bCs/>
          <w:sz w:val="32"/>
          <w:szCs w:val="32"/>
        </w:rPr>
        <w:t>上半年，</w:t>
      </w:r>
      <w:r>
        <w:rPr>
          <w:rFonts w:hint="eastAsia" w:ascii="Times New Roman" w:hAnsi="Times New Roman" w:eastAsia="仿宋_GB2312" w:cs="Times New Roman"/>
          <w:color w:val="000000"/>
          <w:sz w:val="32"/>
          <w:szCs w:val="32"/>
        </w:rPr>
        <w:t>“三保”支出、长期聘用人员支出、债</w:t>
      </w:r>
      <w:r>
        <w:rPr>
          <w:rFonts w:hint="eastAsia" w:ascii="Times New Roman" w:hAnsi="Times New Roman" w:eastAsia="仿宋_GB2312" w:cs="Times New Roman"/>
          <w:color w:val="000000"/>
          <w:w w:val="98"/>
          <w:sz w:val="32"/>
          <w:szCs w:val="32"/>
        </w:rPr>
        <w:t>务付息支出等刚性支出得到充分保障，教育支出增长</w:t>
      </w:r>
      <w:r>
        <w:rPr>
          <w:rFonts w:hint="eastAsia" w:ascii="Times New Roman" w:hAnsi="Times New Roman" w:eastAsia="仿宋_GB2312" w:cs="Times New Roman"/>
          <w:color w:val="000000"/>
          <w:sz w:val="32"/>
          <w:szCs w:val="32"/>
        </w:rPr>
        <w:t>3.3%、社会保障和就业增长18.8%，教育和社会保障等重点民生领域</w:t>
      </w:r>
      <w:r>
        <w:rPr>
          <w:rFonts w:ascii="Times New Roman" w:hAnsi="Times New Roman" w:eastAsia="仿宋_GB2312" w:cs="Times New Roman"/>
          <w:sz w:val="32"/>
          <w:szCs w:val="32"/>
        </w:rPr>
        <w:t>保障</w:t>
      </w:r>
      <w:r>
        <w:rPr>
          <w:rFonts w:hint="eastAsia" w:ascii="Times New Roman" w:hAnsi="Times New Roman" w:eastAsia="仿宋_GB2312" w:cs="Times New Roman"/>
          <w:sz w:val="32"/>
          <w:szCs w:val="32"/>
        </w:rPr>
        <w:t>持续有力</w:t>
      </w:r>
      <w:r>
        <w:rPr>
          <w:rFonts w:hint="eastAsia" w:ascii="Times New Roman" w:hAnsi="Times New Roman" w:eastAsia="仿宋_GB2312" w:cs="Times New Roman"/>
          <w:color w:val="000000"/>
          <w:sz w:val="32"/>
          <w:szCs w:val="32"/>
        </w:rPr>
        <w:t>。上半年，虽然我们大力压减了</w:t>
      </w:r>
      <w:r>
        <w:rPr>
          <w:rFonts w:eastAsia="仿宋_GB2312"/>
          <w:spacing w:val="14"/>
          <w:sz w:val="32"/>
          <w:szCs w:val="32"/>
        </w:rPr>
        <w:t>非重点、非刚性、非急需支出</w:t>
      </w:r>
      <w:r>
        <w:rPr>
          <w:rFonts w:hint="eastAsia" w:eastAsia="仿宋_GB2312"/>
          <w:spacing w:val="14"/>
          <w:sz w:val="32"/>
          <w:szCs w:val="32"/>
        </w:rPr>
        <w:t>并严格控制一般性支出，但</w:t>
      </w:r>
      <w:r>
        <w:rPr>
          <w:rFonts w:ascii="Times New Roman" w:hAnsi="Times New Roman" w:eastAsia="仿宋_GB2312" w:cs="Times New Roman"/>
          <w:sz w:val="32"/>
          <w:szCs w:val="32"/>
        </w:rPr>
        <w:t>一般</w:t>
      </w:r>
      <w:r>
        <w:rPr>
          <w:rFonts w:hint="eastAsia" w:ascii="Times New Roman" w:hAnsi="Times New Roman" w:eastAsia="仿宋_GB2312" w:cs="Times New Roman"/>
          <w:sz w:val="32"/>
          <w:szCs w:val="32"/>
        </w:rPr>
        <w:t>性</w:t>
      </w:r>
      <w:r>
        <w:rPr>
          <w:rFonts w:ascii="Times New Roman" w:hAnsi="Times New Roman" w:eastAsia="仿宋_GB2312" w:cs="Times New Roman"/>
          <w:sz w:val="32"/>
          <w:szCs w:val="32"/>
        </w:rPr>
        <w:t>支出同比</w:t>
      </w:r>
      <w:r>
        <w:rPr>
          <w:rFonts w:hint="eastAsia" w:ascii="Times New Roman" w:hAnsi="Times New Roman" w:eastAsia="仿宋_GB2312" w:cs="Times New Roman"/>
          <w:sz w:val="32"/>
          <w:szCs w:val="32"/>
        </w:rPr>
        <w:t>仅</w:t>
      </w:r>
      <w:r>
        <w:rPr>
          <w:rFonts w:ascii="Times New Roman" w:hAnsi="Times New Roman" w:eastAsia="仿宋_GB2312" w:cs="Times New Roman"/>
          <w:sz w:val="32"/>
          <w:szCs w:val="32"/>
        </w:rPr>
        <w:t>下降</w:t>
      </w:r>
      <w:r>
        <w:rPr>
          <w:rFonts w:hint="eastAsia" w:ascii="Times New Roman" w:hAnsi="Times New Roman" w:eastAsia="仿宋_GB2312" w:cs="Times New Roman"/>
          <w:sz w:val="32"/>
          <w:szCs w:val="32"/>
        </w:rPr>
        <w:t>2.1%，实现全年一般性支出压减比例预期目标仍需久久为功。</w:t>
      </w:r>
    </w:p>
    <w:p>
      <w:pPr>
        <w:spacing w:line="576" w:lineRule="exact"/>
        <w:ind w:firstLine="700" w:firstLineChars="200"/>
        <w:rPr>
          <w:rFonts w:ascii="Times New Roman" w:hAnsi="Times New Roman" w:eastAsia="仿宋_GB2312" w:cs="Times New Roman"/>
          <w:color w:val="000000"/>
          <w:sz w:val="32"/>
          <w:szCs w:val="32"/>
        </w:rPr>
      </w:pPr>
      <w:r>
        <w:rPr>
          <w:rFonts w:ascii="仿宋_GB2312" w:hAnsi="Times New Roman" w:eastAsia="仿宋_GB2312" w:cs="Times New Roman"/>
          <w:b/>
          <w:sz w:val="32"/>
          <w:szCs w:val="32"/>
        </w:rPr>
        <w:t>三是</w:t>
      </w:r>
      <w:r>
        <w:rPr>
          <w:rFonts w:hint="eastAsia" w:ascii="仿宋_GB2312" w:hAnsi="Times New Roman" w:eastAsia="仿宋_GB2312" w:cs="Times New Roman"/>
          <w:b/>
          <w:sz w:val="32"/>
          <w:szCs w:val="32"/>
        </w:rPr>
        <w:t>财政收支矛盾突出，但风险仍然可控。</w:t>
      </w:r>
      <w:r>
        <w:rPr>
          <w:rFonts w:ascii="Times New Roman" w:hAnsi="Times New Roman" w:eastAsia="仿宋_GB2312" w:cs="Times New Roman"/>
          <w:sz w:val="32"/>
          <w:szCs w:val="32"/>
        </w:rPr>
        <w:t>上半年，</w:t>
      </w:r>
      <w:r>
        <w:rPr>
          <w:rFonts w:ascii="Times New Roman" w:hAnsi="Times New Roman" w:eastAsia="仿宋_GB2312" w:cs="Times New Roman"/>
          <w:color w:val="000000"/>
          <w:sz w:val="32"/>
          <w:szCs w:val="32"/>
        </w:rPr>
        <w:t>全区</w:t>
      </w:r>
      <w:r>
        <w:rPr>
          <w:rFonts w:ascii="Times New Roman" w:hAnsi="Times New Roman" w:eastAsia="仿宋_GB2312" w:cs="Times New Roman"/>
          <w:sz w:val="32"/>
          <w:szCs w:val="32"/>
        </w:rPr>
        <w:t>一般公共预算本级财政收入</w:t>
      </w:r>
      <w:r>
        <w:rPr>
          <w:rFonts w:hint="eastAsia" w:ascii="Times New Roman" w:hAnsi="Times New Roman" w:eastAsia="仿宋_GB2312" w:cs="Times New Roman"/>
          <w:sz w:val="32"/>
          <w:szCs w:val="32"/>
        </w:rPr>
        <w:t>5.75亿元，可比口径</w:t>
      </w:r>
      <w:r>
        <w:rPr>
          <w:rFonts w:ascii="Times New Roman" w:hAnsi="Times New Roman" w:eastAsia="仿宋_GB2312" w:cs="Times New Roman"/>
          <w:sz w:val="32"/>
          <w:szCs w:val="32"/>
        </w:rPr>
        <w:t>增长</w:t>
      </w:r>
      <w:r>
        <w:rPr>
          <w:rFonts w:hint="eastAsia" w:ascii="Times New Roman" w:hAnsi="Times New Roman" w:eastAsia="仿宋_GB2312" w:cs="Times New Roman"/>
          <w:sz w:val="32"/>
          <w:szCs w:val="32"/>
        </w:rPr>
        <w:t>8.5</w:t>
      </w:r>
      <w:r>
        <w:rPr>
          <w:rFonts w:ascii="Times New Roman" w:hAnsi="Times New Roman" w:eastAsia="仿宋_GB2312" w:cs="Times New Roman"/>
          <w:sz w:val="32"/>
          <w:szCs w:val="32"/>
        </w:rPr>
        <w:t>%。</w:t>
      </w:r>
      <w:r>
        <w:rPr>
          <w:rFonts w:ascii="Times New Roman" w:hAnsi="Times New Roman" w:eastAsia="仿宋_GB2312" w:cs="Times New Roman"/>
          <w:color w:val="000000"/>
          <w:sz w:val="32"/>
          <w:szCs w:val="32"/>
        </w:rPr>
        <w:t>全区</w:t>
      </w:r>
      <w:r>
        <w:rPr>
          <w:rFonts w:ascii="Times New Roman" w:hAnsi="Times New Roman" w:eastAsia="仿宋_GB2312" w:cs="Times New Roman"/>
          <w:sz w:val="32"/>
          <w:szCs w:val="32"/>
        </w:rPr>
        <w:t>一般公共预算</w:t>
      </w:r>
      <w:r>
        <w:rPr>
          <w:rFonts w:ascii="Times New Roman" w:hAnsi="Times New Roman" w:eastAsia="仿宋_GB2312" w:cs="Times New Roman"/>
          <w:color w:val="000000"/>
          <w:sz w:val="32"/>
          <w:szCs w:val="32"/>
        </w:rPr>
        <w:t>支出12.6亿元，同比增长</w:t>
      </w:r>
      <w:r>
        <w:rPr>
          <w:rFonts w:hint="eastAsia" w:ascii="Times New Roman" w:hAnsi="Times New Roman" w:eastAsia="仿宋_GB2312" w:cs="Times New Roman"/>
          <w:color w:val="000000"/>
          <w:sz w:val="32"/>
          <w:szCs w:val="32"/>
        </w:rPr>
        <w:t>0</w:t>
      </w:r>
      <w:r>
        <w:rPr>
          <w:rFonts w:ascii="Times New Roman" w:hAnsi="Times New Roman" w:eastAsia="仿宋_GB2312" w:cs="Times New Roman"/>
          <w:color w:val="000000"/>
          <w:sz w:val="32"/>
          <w:szCs w:val="32"/>
        </w:rPr>
        <w:t>.5%。</w:t>
      </w:r>
      <w:r>
        <w:rPr>
          <w:rFonts w:hint="eastAsia" w:ascii="Times New Roman" w:hAnsi="Times New Roman" w:eastAsia="仿宋_GB2312" w:cs="Times New Roman"/>
          <w:color w:val="000000"/>
          <w:sz w:val="32"/>
          <w:szCs w:val="32"/>
        </w:rPr>
        <w:t>虽然收入增速远大于支出增速，但支出总量却是收入总量的2.2倍，预算执行保持平稳完全依靠上级转移支付支撑。</w:t>
      </w:r>
      <w:r>
        <w:rPr>
          <w:rFonts w:ascii="Times New Roman" w:hAnsi="Times New Roman" w:eastAsia="仿宋_GB2312" w:cs="Times New Roman"/>
          <w:color w:val="000000"/>
          <w:sz w:val="32"/>
          <w:szCs w:val="32"/>
        </w:rPr>
        <w:t>新增退休人员补贴支出</w:t>
      </w:r>
      <w:r>
        <w:rPr>
          <w:rFonts w:hint="eastAsia" w:ascii="Times New Roman" w:hAnsi="Times New Roman" w:eastAsia="仿宋_GB2312" w:cs="Times New Roman"/>
          <w:color w:val="000000"/>
          <w:sz w:val="32"/>
          <w:szCs w:val="32"/>
        </w:rPr>
        <w:t>、2021年和2022年旧改工程尾款、第三、四实验新建校当年上级专项资金未达到预期等因素将进一步加剧</w:t>
      </w:r>
      <w:r>
        <w:rPr>
          <w:rFonts w:ascii="Times New Roman" w:hAnsi="Times New Roman" w:eastAsia="仿宋_GB2312" w:cs="Times New Roman"/>
          <w:color w:val="000000"/>
          <w:sz w:val="32"/>
          <w:szCs w:val="32"/>
        </w:rPr>
        <w:t>收支矛盾</w:t>
      </w:r>
      <w:r>
        <w:rPr>
          <w:rFonts w:hint="eastAsia" w:ascii="Times New Roman" w:hAnsi="Times New Roman" w:eastAsia="仿宋_GB2312" w:cs="Times New Roman"/>
          <w:color w:val="000000"/>
          <w:sz w:val="32"/>
          <w:szCs w:val="32"/>
        </w:rPr>
        <w:t>。从当前收支形势研判，收入尚未恢复到2021年同期水平，虽风险可控，但仍需高度关注。</w:t>
      </w:r>
    </w:p>
    <w:p>
      <w:pPr>
        <w:spacing w:line="576" w:lineRule="exact"/>
        <w:ind w:firstLine="700" w:firstLineChars="200"/>
        <w:rPr>
          <w:rFonts w:ascii="Times New Roman" w:hAnsi="Times New Roman" w:eastAsia="黑体" w:cs="Times New Roman"/>
          <w:sz w:val="32"/>
          <w:szCs w:val="32"/>
        </w:rPr>
      </w:pPr>
      <w:r>
        <w:rPr>
          <w:rFonts w:ascii="Times New Roman" w:hAnsi="黑体" w:eastAsia="黑体" w:cs="Times New Roman"/>
          <w:sz w:val="32"/>
          <w:szCs w:val="32"/>
        </w:rPr>
        <w:t>三、下半年工作安排</w:t>
      </w:r>
    </w:p>
    <w:p>
      <w:pPr>
        <w:spacing w:line="576" w:lineRule="exact"/>
        <w:ind w:firstLine="70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2024年下半年财政工作</w:t>
      </w:r>
      <w:r>
        <w:rPr>
          <w:rFonts w:hint="eastAsia" w:ascii="Times New Roman" w:hAnsi="Times New Roman" w:eastAsia="仿宋_GB2312" w:cs="Times New Roman"/>
          <w:sz w:val="32"/>
          <w:szCs w:val="32"/>
        </w:rPr>
        <w:t>将</w:t>
      </w:r>
      <w:r>
        <w:rPr>
          <w:rFonts w:ascii="Times New Roman" w:hAnsi="Times New Roman" w:eastAsia="仿宋_GB2312" w:cs="Times New Roman"/>
          <w:sz w:val="32"/>
          <w:szCs w:val="32"/>
        </w:rPr>
        <w:t>坚持稳中求进总基调，</w:t>
      </w:r>
      <w:r>
        <w:rPr>
          <w:rFonts w:hint="eastAsia" w:ascii="Times New Roman" w:hAnsi="Times New Roman" w:eastAsia="仿宋_GB2312" w:cs="Times New Roman"/>
          <w:sz w:val="32"/>
          <w:szCs w:val="32"/>
        </w:rPr>
        <w:t>坚定“习惯过紧日子”思想，坚守兜牢底线思维，用科学化、精细化、规范化的预算管理手段，提升财政综合实力，为南关经济社会高质量发展提供有力保障。</w:t>
      </w:r>
    </w:p>
    <w:p>
      <w:pPr>
        <w:spacing w:line="576" w:lineRule="exact"/>
        <w:ind w:firstLine="700" w:firstLineChars="200"/>
        <w:rPr>
          <w:rFonts w:ascii="楷体_GB2312" w:hAnsi="Times New Roman" w:eastAsia="楷体_GB2312" w:cs="Times New Roman"/>
          <w:sz w:val="32"/>
          <w:szCs w:val="32"/>
        </w:rPr>
      </w:pPr>
      <w:r>
        <w:rPr>
          <w:rFonts w:hint="eastAsia" w:ascii="楷体_GB2312" w:hAnsi="Times New Roman" w:eastAsia="楷体_GB2312" w:cs="Times New Roman"/>
          <w:sz w:val="32"/>
          <w:szCs w:val="32"/>
        </w:rPr>
        <w:t>（一）着力增收挖潜，不断强化财政保障能力。</w:t>
      </w:r>
    </w:p>
    <w:p>
      <w:pPr>
        <w:spacing w:line="576" w:lineRule="exact"/>
        <w:ind w:firstLine="700" w:firstLineChars="200"/>
        <w:rPr>
          <w:rFonts w:ascii="Times New Roman" w:hAnsi="Times New Roman" w:eastAsia="仿宋_GB2312" w:cs="Times New Roman"/>
          <w:sz w:val="32"/>
          <w:szCs w:val="32"/>
        </w:rPr>
      </w:pPr>
      <w:r>
        <w:rPr>
          <w:rFonts w:hint="eastAsia" w:ascii="Times New Roman" w:hAnsi="Times New Roman" w:eastAsia="仿宋_GB2312" w:cs="Times New Roman"/>
          <w:b/>
          <w:sz w:val="32"/>
          <w:szCs w:val="32"/>
        </w:rPr>
        <w:t>一是全力抓好组织收入。</w:t>
      </w:r>
      <w:r>
        <w:rPr>
          <w:rFonts w:hint="eastAsia" w:ascii="Times New Roman" w:hAnsi="Times New Roman" w:eastAsia="仿宋_GB2312" w:cs="Times New Roman"/>
          <w:sz w:val="32"/>
          <w:szCs w:val="32"/>
        </w:rPr>
        <w:t>依托“五经普”行动，开展重点税源普查登记，通过街乡统筹、社区认领、网格建账三级管理机制，及时掌握全区重点税源、重点企业、重点行业运行态势，挖增量、控减量、防变量，大力涵养税源，不断做大税源基数，努力实现财政收入的平稳增长。</w:t>
      </w:r>
    </w:p>
    <w:p>
      <w:pPr>
        <w:spacing w:line="576" w:lineRule="exact"/>
        <w:ind w:firstLine="700" w:firstLineChars="200"/>
        <w:rPr>
          <w:rFonts w:ascii="Times New Roman" w:hAnsi="Times New Roman" w:eastAsia="仿宋_GB2312" w:cs="Times New Roman"/>
          <w:sz w:val="32"/>
          <w:szCs w:val="32"/>
        </w:rPr>
      </w:pPr>
      <w:r>
        <w:rPr>
          <w:rFonts w:hint="eastAsia" w:ascii="Times New Roman" w:hAnsi="Times New Roman" w:eastAsia="仿宋_GB2312" w:cs="Times New Roman"/>
          <w:b/>
          <w:sz w:val="32"/>
          <w:szCs w:val="32"/>
        </w:rPr>
        <w:t>二是积极向上争取资金。</w:t>
      </w:r>
      <w:r>
        <w:rPr>
          <w:rFonts w:hint="eastAsia" w:ascii="Times New Roman" w:hAnsi="Times New Roman" w:eastAsia="仿宋_GB2312" w:cs="Times New Roman"/>
          <w:sz w:val="32"/>
          <w:szCs w:val="32"/>
        </w:rPr>
        <w:t>强化同各预算部门的协调联系，了解掌握上级出台的各项扶持政策，准确把握支持方向，重点围绕一般债券、专项债券、超长期国债等支持领域，做好项目可研、方案编制、项目谋划等工作，尽最大努力争取上级资金支持。紧抓永春现代生物医药城建设契机，摸清研透政策导向，充分释放政策红利。</w:t>
      </w:r>
    </w:p>
    <w:p>
      <w:pPr>
        <w:spacing w:line="576" w:lineRule="exact"/>
        <w:ind w:firstLine="700" w:firstLineChars="200"/>
        <w:rPr>
          <w:rFonts w:ascii="Times New Roman" w:hAnsi="Times New Roman" w:eastAsia="仿宋_GB2312" w:cs="Times New Roman"/>
          <w:sz w:val="32"/>
          <w:szCs w:val="32"/>
        </w:rPr>
      </w:pPr>
      <w:r>
        <w:rPr>
          <w:rFonts w:hint="eastAsia" w:ascii="Times New Roman" w:hAnsi="Times New Roman" w:eastAsia="仿宋_GB2312" w:cs="Times New Roman"/>
          <w:b/>
          <w:sz w:val="32"/>
          <w:szCs w:val="32"/>
        </w:rPr>
        <w:t>三是推进资源盘活利用。</w:t>
      </w:r>
      <w:r>
        <w:rPr>
          <w:rFonts w:hint="eastAsia" w:ascii="Times New Roman" w:hAnsi="Times New Roman" w:eastAsia="仿宋_GB2312" w:cs="Times New Roman"/>
          <w:sz w:val="32"/>
          <w:szCs w:val="32"/>
        </w:rPr>
        <w:t>以“国有资源资产大起底”专项行动为契机，全面统筹我区资金、资产等一切可以利用资源，分门别类，有针对性多渠道盘活闲置、低效、无用资产，唤醒沉淀资金，消化暂付款，腾出更多资金资源，缓解财政运行压力。</w:t>
      </w:r>
    </w:p>
    <w:p>
      <w:pPr>
        <w:spacing w:line="576" w:lineRule="exact"/>
        <w:ind w:firstLine="700" w:firstLineChars="200"/>
        <w:rPr>
          <w:rFonts w:ascii="楷体_GB2312" w:hAnsi="Times New Roman" w:eastAsia="楷体_GB2312" w:cs="Times New Roman"/>
          <w:sz w:val="32"/>
          <w:szCs w:val="32"/>
        </w:rPr>
      </w:pPr>
      <w:r>
        <w:rPr>
          <w:rFonts w:hint="eastAsia" w:ascii="楷体_GB2312" w:hAnsi="Times New Roman" w:eastAsia="楷体_GB2312" w:cs="Times New Roman"/>
          <w:sz w:val="32"/>
          <w:szCs w:val="32"/>
        </w:rPr>
        <w:t>（二）着力优化结构，持续兜牢民生保障底线。</w:t>
      </w:r>
    </w:p>
    <w:p>
      <w:pPr>
        <w:spacing w:line="576" w:lineRule="exact"/>
        <w:ind w:firstLine="700" w:firstLineChars="200"/>
        <w:rPr>
          <w:rFonts w:ascii="Times New Roman" w:hAnsi="Times New Roman" w:eastAsia="仿宋_GB2312" w:cs="Times New Roman"/>
          <w:sz w:val="32"/>
          <w:szCs w:val="32"/>
        </w:rPr>
      </w:pPr>
      <w:r>
        <w:rPr>
          <w:rFonts w:hint="eastAsia" w:ascii="Times New Roman" w:hAnsi="Times New Roman" w:eastAsia="仿宋_GB2312" w:cs="Times New Roman"/>
          <w:b/>
          <w:sz w:val="32"/>
          <w:szCs w:val="32"/>
        </w:rPr>
        <w:t>一是</w:t>
      </w:r>
      <w:r>
        <w:rPr>
          <w:rFonts w:hint="eastAsia" w:ascii="Times New Roman" w:hAnsi="Times New Roman" w:eastAsia="仿宋_GB2312" w:cs="Times New Roman"/>
          <w:b/>
          <w:bCs/>
          <w:sz w:val="32"/>
          <w:szCs w:val="32"/>
        </w:rPr>
        <w:t>硬化预算约束</w:t>
      </w:r>
      <w:r>
        <w:rPr>
          <w:rFonts w:hint="eastAsia" w:ascii="Times New Roman" w:hAnsi="Times New Roman" w:eastAsia="仿宋_GB2312" w:cs="Times New Roman"/>
          <w:sz w:val="32"/>
          <w:szCs w:val="32"/>
        </w:rPr>
        <w:t>。坚持“先预算后支出，无预算、超预算不支出”基本原则，严格预算执行，除上级政策性支持的民生项目外，对非预算事项不予资金支持。严格控制预算科目与预算部门之间的调剂，避免民生预算被挤占挪用，保障预算安排按计划执行。</w:t>
      </w:r>
    </w:p>
    <w:p>
      <w:pPr>
        <w:spacing w:line="576" w:lineRule="exact"/>
        <w:ind w:firstLine="700" w:firstLineChars="200"/>
        <w:rPr>
          <w:rFonts w:ascii="Times New Roman" w:hAnsi="Times New Roman" w:eastAsia="仿宋_GB2312" w:cs="Times New Roman"/>
          <w:sz w:val="32"/>
          <w:szCs w:val="32"/>
        </w:rPr>
      </w:pPr>
      <w:r>
        <w:rPr>
          <w:rFonts w:hint="eastAsia" w:ascii="Times New Roman" w:hAnsi="Times New Roman" w:eastAsia="仿宋_GB2312" w:cs="Times New Roman"/>
          <w:b/>
          <w:sz w:val="32"/>
          <w:szCs w:val="32"/>
        </w:rPr>
        <w:t>二是习惯过紧日子。</w:t>
      </w:r>
      <w:r>
        <w:rPr>
          <w:rFonts w:hint="eastAsia" w:ascii="Times New Roman" w:hAnsi="Times New Roman" w:eastAsia="仿宋_GB2312" w:cs="Times New Roman"/>
          <w:bCs/>
          <w:sz w:val="32"/>
          <w:szCs w:val="32"/>
        </w:rPr>
        <w:t>不折不扣落实过紧日子要求，进一步压缩一般性支出，建立约束机制和动态监测机制，核定各预算部门一般性支出2024年执行限额，及时调度通报部门执行情况，腾出更多财力，全力保障“三保”支出等其他刚性支出和重点领域支出，切实兜牢民生保障底线。</w:t>
      </w:r>
    </w:p>
    <w:p>
      <w:pPr>
        <w:spacing w:line="576" w:lineRule="exact"/>
        <w:ind w:firstLine="700" w:firstLineChars="200"/>
        <w:rPr>
          <w:rFonts w:ascii="Times New Roman" w:hAnsi="Times New Roman" w:eastAsia="仿宋_GB2312" w:cs="Times New Roman"/>
          <w:sz w:val="32"/>
          <w:szCs w:val="32"/>
        </w:rPr>
      </w:pPr>
      <w:r>
        <w:rPr>
          <w:rFonts w:hint="eastAsia" w:ascii="Times New Roman" w:hAnsi="Times New Roman" w:eastAsia="仿宋_GB2312" w:cs="Times New Roman"/>
          <w:b/>
          <w:sz w:val="32"/>
          <w:szCs w:val="32"/>
        </w:rPr>
        <w:t>三是开展绩效监控。</w:t>
      </w:r>
      <w:r>
        <w:rPr>
          <w:rFonts w:hint="eastAsia" w:ascii="Times New Roman" w:hAnsi="Times New Roman" w:eastAsia="仿宋_GB2312" w:cs="Times New Roman"/>
          <w:bCs/>
          <w:sz w:val="32"/>
          <w:szCs w:val="32"/>
        </w:rPr>
        <w:t>依托</w:t>
      </w:r>
      <w:r>
        <w:rPr>
          <w:rFonts w:hint="eastAsia" w:ascii="Times New Roman" w:hAnsi="Times New Roman" w:eastAsia="仿宋_GB2312" w:cs="Times New Roman"/>
          <w:sz w:val="32"/>
          <w:szCs w:val="32"/>
        </w:rPr>
        <w:t>预算一体化系统，开展绩效监控，对预算绩效监控结果进行审核分析，对预算无法执行或执行进度缓慢的项目，进行风险研判，及时纠偏止损、收回资金，切实提高财政资金使用效益。</w:t>
      </w:r>
    </w:p>
    <w:p>
      <w:pPr>
        <w:spacing w:line="576" w:lineRule="exact"/>
        <w:ind w:firstLine="700" w:firstLineChars="200"/>
        <w:rPr>
          <w:rFonts w:ascii="楷体_GB2312" w:hAnsi="Times New Roman" w:eastAsia="楷体_GB2312" w:cs="Times New Roman"/>
          <w:sz w:val="32"/>
          <w:szCs w:val="32"/>
        </w:rPr>
      </w:pPr>
      <w:r>
        <w:rPr>
          <w:rFonts w:hint="eastAsia" w:ascii="楷体_GB2312" w:hAnsi="Times New Roman" w:eastAsia="楷体_GB2312" w:cs="Times New Roman"/>
          <w:sz w:val="32"/>
          <w:szCs w:val="32"/>
        </w:rPr>
        <w:t>（三）着力提质增效，不断提升财政管理水平。</w:t>
      </w:r>
    </w:p>
    <w:p>
      <w:pPr>
        <w:spacing w:line="576" w:lineRule="exact"/>
        <w:ind w:firstLine="700" w:firstLineChars="200"/>
        <w:rPr>
          <w:rFonts w:ascii="Times New Roman" w:hAnsi="Times New Roman" w:eastAsia="仿宋_GB2312" w:cs="Times New Roman"/>
          <w:sz w:val="32"/>
          <w:szCs w:val="32"/>
        </w:rPr>
      </w:pPr>
      <w:r>
        <w:rPr>
          <w:rFonts w:hint="eastAsia" w:ascii="Times New Roman" w:hAnsi="Times New Roman" w:eastAsia="仿宋_GB2312" w:cs="Times New Roman"/>
          <w:b/>
          <w:sz w:val="32"/>
          <w:szCs w:val="32"/>
        </w:rPr>
        <w:t>一是细化税源管理。</w:t>
      </w:r>
      <w:r>
        <w:rPr>
          <w:rFonts w:hint="eastAsia" w:ascii="Times New Roman" w:hAnsi="Times New Roman" w:eastAsia="仿宋_GB2312" w:cs="Times New Roman"/>
          <w:sz w:val="32"/>
          <w:szCs w:val="32"/>
        </w:rPr>
        <w:t>整合税务、市场监管、统计信息，普查企业注册地、经营地、税务登记等情况，完善细化税源档案，实现税源的“信息化、规范化、常态化”管理，在扶持重点税源、挽留税源、回流税源上下真功。</w:t>
      </w:r>
      <w:r>
        <w:rPr>
          <w:rFonts w:ascii="Times New Roman" w:hAnsi="Times New Roman" w:eastAsia="仿宋_GB2312" w:cs="Times New Roman"/>
          <w:sz w:val="32"/>
          <w:szCs w:val="32"/>
        </w:rPr>
        <w:t xml:space="preserve"> </w:t>
      </w:r>
    </w:p>
    <w:p>
      <w:pPr>
        <w:spacing w:line="576" w:lineRule="exact"/>
        <w:ind w:firstLine="700" w:firstLineChars="200"/>
        <w:rPr>
          <w:rFonts w:ascii="Times New Roman" w:hAnsi="Times New Roman" w:eastAsia="仿宋_GB2312" w:cs="Times New Roman"/>
          <w:sz w:val="32"/>
          <w:szCs w:val="32"/>
        </w:rPr>
      </w:pPr>
      <w:r>
        <w:rPr>
          <w:rFonts w:hint="eastAsia" w:ascii="Times New Roman" w:hAnsi="Times New Roman" w:eastAsia="仿宋_GB2312" w:cs="Times New Roman"/>
          <w:b/>
          <w:sz w:val="32"/>
          <w:szCs w:val="32"/>
        </w:rPr>
        <w:t>二是严格绩效管理。</w:t>
      </w:r>
      <w:r>
        <w:rPr>
          <w:rFonts w:hint="eastAsia" w:ascii="Times New Roman" w:hAnsi="Times New Roman" w:eastAsia="仿宋_GB2312" w:cs="Times New Roman"/>
          <w:sz w:val="32"/>
          <w:szCs w:val="32"/>
        </w:rPr>
        <w:t>强化事前评估、注重结果导向，对新增项目开展绩效评估，将评估结果作为立项前置条件，从源头上严格项目管理。严格执行预算绩效评价结果，削减低效的项目预算安排，为下年度预算编制奠定良好基础。</w:t>
      </w:r>
    </w:p>
    <w:p>
      <w:pPr>
        <w:spacing w:line="576" w:lineRule="exact"/>
        <w:ind w:firstLine="700" w:firstLineChars="200"/>
        <w:rPr>
          <w:rFonts w:ascii="Times New Roman" w:hAnsi="Times New Roman" w:eastAsia="仿宋_GB2312" w:cs="Times New Roman"/>
          <w:sz w:val="32"/>
          <w:szCs w:val="32"/>
        </w:rPr>
      </w:pPr>
      <w:r>
        <w:rPr>
          <w:rFonts w:hint="eastAsia" w:ascii="Times New Roman" w:hAnsi="Times New Roman" w:eastAsia="仿宋_GB2312" w:cs="Times New Roman"/>
          <w:b/>
          <w:sz w:val="32"/>
          <w:szCs w:val="32"/>
        </w:rPr>
        <w:t>三是深化资产管理。</w:t>
      </w:r>
      <w:r>
        <w:rPr>
          <w:rFonts w:hint="eastAsia" w:ascii="Times New Roman" w:hAnsi="Times New Roman" w:eastAsia="仿宋_GB2312" w:cs="Times New Roman"/>
          <w:bCs/>
          <w:sz w:val="32"/>
          <w:szCs w:val="32"/>
        </w:rPr>
        <w:t>以</w:t>
      </w:r>
      <w:r>
        <w:rPr>
          <w:rFonts w:hint="eastAsia" w:ascii="Times New Roman" w:hAnsi="Times New Roman" w:eastAsia="仿宋_GB2312" w:cs="Times New Roman"/>
          <w:sz w:val="32"/>
          <w:szCs w:val="32"/>
        </w:rPr>
        <w:t>“国有资源资产大起底”专项行动为依托，加强资产盘点、监控、评估、调度、处置，切实解决行政运行中“重资金、轻资产”“重增量、轻存量”“重购置、轻处置”“重申领、轻调剂”“重保值、轻增值”等问题，切实提高国有资源资产使用效益。</w:t>
      </w:r>
    </w:p>
    <w:p>
      <w:pPr>
        <w:spacing w:line="576" w:lineRule="exact"/>
        <w:ind w:firstLine="700" w:firstLineChars="200"/>
        <w:rPr>
          <w:rFonts w:ascii="Times New Roman" w:hAnsi="Times New Roman" w:eastAsia="仿宋_GB2312" w:cs="Times New Roman"/>
          <w:sz w:val="32"/>
          <w:szCs w:val="32"/>
        </w:rPr>
      </w:pPr>
      <w:r>
        <w:rPr>
          <w:rFonts w:hint="eastAsia" w:ascii="Times New Roman" w:hAnsi="Times New Roman" w:eastAsia="仿宋_GB2312" w:cs="Times New Roman"/>
          <w:b/>
          <w:sz w:val="32"/>
          <w:szCs w:val="32"/>
        </w:rPr>
        <w:t>四是</w:t>
      </w:r>
      <w:r>
        <w:rPr>
          <w:rFonts w:hint="eastAsia" w:ascii="Times New Roman" w:hAnsi="Times New Roman" w:eastAsia="仿宋_GB2312" w:cs="Times New Roman"/>
          <w:b/>
          <w:bCs/>
          <w:sz w:val="32"/>
          <w:szCs w:val="32"/>
        </w:rPr>
        <w:t>强化财经纪律</w:t>
      </w:r>
      <w:r>
        <w:rPr>
          <w:rFonts w:hint="eastAsia" w:ascii="Times New Roman" w:hAnsi="Times New Roman" w:eastAsia="仿宋_GB2312" w:cs="Times New Roman"/>
          <w:sz w:val="32"/>
          <w:szCs w:val="32"/>
        </w:rPr>
        <w:t>。深入学习贯彻《关于进一步加强财会监督工作的意见》，牢牢把握新时代财会监督的使命任务，全力推动党中央决策部署落实到位，保障重大财税政策落地见效，财政资金使用安全规范，预算管理、绩效管理、国有资产和政府采购管理、会计信息等质量稳步提升，落实单位内部监督主体责任，强化财经纪律。</w:t>
      </w:r>
    </w:p>
    <w:p>
      <w:pPr>
        <w:spacing w:line="576" w:lineRule="exact"/>
        <w:ind w:firstLine="700" w:firstLineChars="200"/>
        <w:rPr>
          <w:rFonts w:ascii="楷体_GB2312" w:hAnsi="Times New Roman" w:eastAsia="楷体_GB2312" w:cs="Times New Roman"/>
          <w:sz w:val="32"/>
          <w:szCs w:val="32"/>
        </w:rPr>
      </w:pPr>
      <w:r>
        <w:rPr>
          <w:rFonts w:hint="eastAsia" w:ascii="楷体_GB2312" w:hAnsi="Times New Roman" w:eastAsia="楷体_GB2312" w:cs="Times New Roman"/>
          <w:sz w:val="32"/>
          <w:szCs w:val="32"/>
        </w:rPr>
        <w:t>（四）着力防范风险，努力确保财政平稳运行。</w:t>
      </w:r>
    </w:p>
    <w:p>
      <w:pPr>
        <w:tabs>
          <w:tab w:val="center" w:pos="4153"/>
          <w:tab w:val="right" w:pos="8306"/>
        </w:tabs>
        <w:spacing w:line="576" w:lineRule="exact"/>
        <w:ind w:firstLine="700" w:firstLineChars="200"/>
        <w:jc w:val="left"/>
        <w:rPr>
          <w:rFonts w:ascii="Times New Roman" w:hAnsi="Times New Roman" w:eastAsia="仿宋_GB2312" w:cs="Times New Roman"/>
          <w:sz w:val="32"/>
          <w:szCs w:val="32"/>
        </w:rPr>
      </w:pPr>
      <w:r>
        <w:rPr>
          <w:rFonts w:ascii="Times New Roman" w:hAnsi="Times New Roman" w:eastAsia="仿宋_GB2312" w:cs="Times New Roman"/>
          <w:b/>
          <w:sz w:val="32"/>
          <w:szCs w:val="32"/>
        </w:rPr>
        <w:t>一是</w:t>
      </w:r>
      <w:r>
        <w:rPr>
          <w:rFonts w:hint="eastAsia" w:ascii="Times New Roman" w:hAnsi="Times New Roman" w:eastAsia="仿宋_GB2312" w:cs="Times New Roman"/>
          <w:b/>
          <w:sz w:val="32"/>
          <w:szCs w:val="32"/>
        </w:rPr>
        <w:t>守住底线，不遗余力防住“三保”风险。</w:t>
      </w:r>
      <w:r>
        <w:rPr>
          <w:rFonts w:hint="eastAsia" w:ascii="Times New Roman" w:hAnsi="Times New Roman" w:eastAsia="仿宋_GB2312" w:cs="Times New Roman"/>
          <w:bCs/>
          <w:sz w:val="32"/>
          <w:szCs w:val="32"/>
        </w:rPr>
        <w:t>切实扛起“保基本民生、保工资、保运转”的</w:t>
      </w:r>
      <w:r>
        <w:rPr>
          <w:rFonts w:ascii="Times New Roman" w:hAnsi="Times New Roman" w:eastAsia="仿宋_GB2312" w:cs="Times New Roman"/>
          <w:sz w:val="32"/>
          <w:szCs w:val="32"/>
        </w:rPr>
        <w:t>主体</w:t>
      </w:r>
      <w:r>
        <w:rPr>
          <w:rFonts w:hint="eastAsia" w:ascii="Times New Roman" w:hAnsi="Times New Roman" w:eastAsia="仿宋_GB2312" w:cs="Times New Roman"/>
          <w:bCs/>
          <w:sz w:val="32"/>
          <w:szCs w:val="32"/>
        </w:rPr>
        <w:t>责任，严格按照国家标准需求足额保障“三保”支出，加强“三保”支出库款保障和运行监控，做好“三保”风险防范和应急处置。</w:t>
      </w:r>
    </w:p>
    <w:p>
      <w:pPr>
        <w:tabs>
          <w:tab w:val="center" w:pos="4153"/>
          <w:tab w:val="right" w:pos="8306"/>
        </w:tabs>
        <w:spacing w:line="576" w:lineRule="exact"/>
        <w:ind w:firstLine="700" w:firstLineChars="200"/>
        <w:jc w:val="left"/>
        <w:rPr>
          <w:rFonts w:ascii="Times New Roman" w:hAnsi="Times New Roman" w:eastAsia="仿宋_GB2312" w:cs="Times New Roman"/>
          <w:sz w:val="32"/>
          <w:szCs w:val="32"/>
        </w:rPr>
      </w:pPr>
      <w:r>
        <w:rPr>
          <w:rFonts w:ascii="Times New Roman" w:hAnsi="Times New Roman" w:eastAsia="仿宋_GB2312" w:cs="Times New Roman"/>
          <w:b/>
          <w:sz w:val="32"/>
          <w:szCs w:val="32"/>
        </w:rPr>
        <w:t>二</w:t>
      </w:r>
      <w:r>
        <w:rPr>
          <w:rFonts w:hint="eastAsia" w:ascii="Times New Roman" w:hAnsi="Times New Roman" w:eastAsia="仿宋_GB2312" w:cs="Times New Roman"/>
          <w:b/>
          <w:sz w:val="32"/>
          <w:szCs w:val="32"/>
        </w:rPr>
        <w:t>是不碰红线，不遗余力防住债务风险。</w:t>
      </w:r>
      <w:r>
        <w:rPr>
          <w:rFonts w:hint="eastAsia" w:ascii="Times New Roman" w:hAnsi="Times New Roman" w:eastAsia="仿宋_GB2312" w:cs="Times New Roman"/>
          <w:sz w:val="32"/>
          <w:szCs w:val="32"/>
        </w:rPr>
        <w:t>持续深入防范地方政府债务风险，加大对各预算部门工程进度款、采购款的梳理力度，依托地方政府债务系统，</w:t>
      </w:r>
      <w:r>
        <w:rPr>
          <w:rFonts w:ascii="Times New Roman" w:hAnsi="Times New Roman" w:eastAsia="仿宋_GB2312" w:cs="Times New Roman"/>
          <w:sz w:val="32"/>
          <w:szCs w:val="32"/>
        </w:rPr>
        <w:t>实时监测隐性债务，</w:t>
      </w:r>
      <w:r>
        <w:rPr>
          <w:rFonts w:hint="eastAsia" w:ascii="Times New Roman" w:hAnsi="Times New Roman" w:eastAsia="仿宋_GB2312" w:cs="Times New Roman"/>
          <w:sz w:val="32"/>
          <w:szCs w:val="32"/>
        </w:rPr>
        <w:t>妥善化解存量和新增债务风险。</w:t>
      </w:r>
    </w:p>
    <w:p>
      <w:pPr>
        <w:tabs>
          <w:tab w:val="center" w:pos="4153"/>
          <w:tab w:val="right" w:pos="8306"/>
        </w:tabs>
        <w:spacing w:line="576" w:lineRule="exact"/>
        <w:ind w:firstLine="700" w:firstLineChars="200"/>
        <w:jc w:val="left"/>
        <w:rPr>
          <w:rFonts w:ascii="Times New Roman" w:hAnsi="Times New Roman" w:eastAsia="仿宋_GB2312" w:cs="Times New Roman"/>
          <w:sz w:val="32"/>
          <w:szCs w:val="32"/>
        </w:rPr>
      </w:pPr>
      <w:r>
        <w:rPr>
          <w:rFonts w:ascii="Times New Roman" w:hAnsi="Times New Roman" w:eastAsia="仿宋_GB2312" w:cs="Times New Roman"/>
          <w:b/>
          <w:sz w:val="32"/>
          <w:szCs w:val="32"/>
        </w:rPr>
        <w:t>三是</w:t>
      </w:r>
      <w:r>
        <w:rPr>
          <w:rFonts w:hint="eastAsia" w:ascii="Times New Roman" w:hAnsi="Times New Roman" w:eastAsia="仿宋_GB2312" w:cs="Times New Roman"/>
          <w:b/>
          <w:sz w:val="32"/>
          <w:szCs w:val="32"/>
        </w:rPr>
        <w:t>设定高压线，不遗余力防住运行风险。</w:t>
      </w:r>
      <w:r>
        <w:rPr>
          <w:rFonts w:hint="eastAsia" w:ascii="Times New Roman" w:hAnsi="Times New Roman" w:eastAsia="仿宋_GB2312" w:cs="Times New Roman"/>
          <w:bCs/>
          <w:sz w:val="32"/>
          <w:szCs w:val="32"/>
        </w:rPr>
        <w:t>强化与各级税务部门的协调沟通，加强</w:t>
      </w:r>
      <w:r>
        <w:rPr>
          <w:rFonts w:hint="eastAsia" w:ascii="Times New Roman" w:hAnsi="Times New Roman" w:eastAsia="仿宋_GB2312" w:cs="Times New Roman"/>
          <w:sz w:val="32"/>
          <w:szCs w:val="32"/>
        </w:rPr>
        <w:t>收入征管，跟进收入进度，确保收入实现预期；加强税源管控，提升服务效能，确保税源守得住，不流失；硬化预算约束，严控政府采购，确保收入有序，支出有度，收支平衡。</w:t>
      </w:r>
    </w:p>
    <w:p>
      <w:pPr>
        <w:spacing w:line="576" w:lineRule="exact"/>
        <w:ind w:firstLine="70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主任、各位副主任、各位委员，</w:t>
      </w:r>
      <w:r>
        <w:rPr>
          <w:rFonts w:hint="eastAsia" w:ascii="Times New Roman" w:hAnsi="Times New Roman" w:eastAsia="仿宋_GB2312" w:cs="Times New Roman"/>
          <w:sz w:val="32"/>
          <w:szCs w:val="32"/>
        </w:rPr>
        <w:t>行至半山，更应“快马加鞭”，船到中流，更应“奋楫者先”。面对错综复杂的国际形势和严峻的经济下行压力，以及省以下财税体制的巨大变革，以逢山开路、遇水架桥的闯劲，以滴水石穿、绳锯木断的韧劲，</w:t>
      </w:r>
      <w:r>
        <w:rPr>
          <w:rFonts w:ascii="Times New Roman" w:hAnsi="Times New Roman" w:eastAsia="仿宋_GB2312" w:cs="Times New Roman"/>
          <w:sz w:val="32"/>
          <w:szCs w:val="32"/>
        </w:rPr>
        <w:t>在区委的正确领导下，在区人大、区政协的监督指导下，按照区委十四届</w:t>
      </w:r>
      <w:r>
        <w:rPr>
          <w:rFonts w:hint="eastAsia" w:ascii="Times New Roman" w:hAnsi="Times New Roman" w:eastAsia="仿宋_GB2312" w:cs="Times New Roman"/>
          <w:sz w:val="32"/>
          <w:szCs w:val="32"/>
        </w:rPr>
        <w:t>六</w:t>
      </w:r>
      <w:r>
        <w:rPr>
          <w:rFonts w:ascii="Times New Roman" w:hAnsi="Times New Roman" w:eastAsia="仿宋_GB2312" w:cs="Times New Roman"/>
          <w:sz w:val="32"/>
          <w:szCs w:val="32"/>
        </w:rPr>
        <w:t>次全会经济工作部署，</w:t>
      </w:r>
      <w:r>
        <w:rPr>
          <w:rFonts w:hint="eastAsia" w:ascii="Times New Roman" w:hAnsi="Times New Roman" w:eastAsia="仿宋_GB2312" w:cs="Times New Roman"/>
          <w:sz w:val="32"/>
          <w:szCs w:val="32"/>
        </w:rPr>
        <w:t>念好“紧箍咒”，管好“责任田”，</w:t>
      </w:r>
      <w:r>
        <w:rPr>
          <w:rFonts w:ascii="Times New Roman" w:hAnsi="Times New Roman" w:eastAsia="仿宋_GB2312" w:cs="Times New Roman"/>
          <w:sz w:val="32"/>
          <w:szCs w:val="32"/>
        </w:rPr>
        <w:t>为南关全面振兴</w:t>
      </w:r>
      <w:r>
        <w:rPr>
          <w:rFonts w:hint="eastAsia" w:ascii="Times New Roman" w:hAnsi="Times New Roman" w:eastAsia="仿宋_GB2312" w:cs="Times New Roman"/>
          <w:sz w:val="32"/>
          <w:szCs w:val="32"/>
        </w:rPr>
        <w:t>率先实现</w:t>
      </w:r>
      <w:r>
        <w:rPr>
          <w:rFonts w:ascii="Times New Roman" w:hAnsi="Times New Roman" w:eastAsia="仿宋_GB2312" w:cs="Times New Roman"/>
          <w:sz w:val="32"/>
          <w:szCs w:val="32"/>
        </w:rPr>
        <w:t>新突破</w:t>
      </w:r>
      <w:r>
        <w:rPr>
          <w:rFonts w:hint="eastAsia" w:ascii="Times New Roman" w:hAnsi="Times New Roman" w:eastAsia="仿宋_GB2312" w:cs="Times New Roman"/>
          <w:sz w:val="32"/>
          <w:szCs w:val="32"/>
        </w:rPr>
        <w:t>贡献财政力量</w:t>
      </w:r>
      <w:r>
        <w:rPr>
          <w:rFonts w:ascii="Times New Roman" w:hAnsi="Times New Roman" w:eastAsia="仿宋_GB2312" w:cs="Times New Roman"/>
          <w:sz w:val="32"/>
          <w:szCs w:val="32"/>
        </w:rPr>
        <w:t>。</w:t>
      </w:r>
    </w:p>
    <w:p>
      <w:pPr>
        <w:spacing w:line="576" w:lineRule="exact"/>
        <w:ind w:firstLine="700" w:firstLineChars="200"/>
        <w:rPr>
          <w:rFonts w:ascii="Times New Roman" w:hAnsi="Times New Roman" w:eastAsia="仿宋_GB2312" w:cs="Times New Roman"/>
          <w:sz w:val="32"/>
          <w:szCs w:val="32"/>
        </w:rPr>
      </w:pPr>
    </w:p>
    <w:p>
      <w:pPr>
        <w:spacing w:line="576" w:lineRule="exact"/>
        <w:ind w:firstLine="700" w:firstLineChars="200"/>
        <w:rPr>
          <w:rFonts w:ascii="Times New Roman" w:hAnsi="Times New Roman" w:eastAsia="仿宋_GB2312" w:cs="Times New Roman"/>
          <w:sz w:val="32"/>
          <w:szCs w:val="32"/>
        </w:rPr>
      </w:pPr>
    </w:p>
    <w:sectPr>
      <w:footerReference r:id="rId3" w:type="default"/>
      <w:pgSz w:w="11906" w:h="16838"/>
      <w:pgMar w:top="1418" w:right="1418" w:bottom="1418" w:left="1418" w:header="851" w:footer="992" w:gutter="0"/>
      <w:pgNumType w:fmt="numberInDash"/>
      <w:cols w:space="425" w:num="1"/>
      <w:docGrid w:type="linesAndChars" w:linePitch="312" w:charSpace="6144"/>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楷体_GB2312">
    <w:panose1 w:val="02010609030101010101"/>
    <w:charset w:val="86"/>
    <w:family w:val="modern"/>
    <w:pitch w:val="default"/>
    <w:sig w:usb0="00000001" w:usb1="080E0000" w:usb2="00000000" w:usb3="00000000" w:csb0="00040000" w:csb1="00000000"/>
  </w:font>
  <w:font w:name="华文仿宋">
    <w:panose1 w:val="02010600040101010101"/>
    <w:charset w:val="86"/>
    <w:family w:val="auto"/>
    <w:pitch w:val="default"/>
    <w:sig w:usb0="00000287" w:usb1="080F0000" w:usb2="00000000" w:usb3="00000000" w:csb0="0004009F" w:csb1="DFD7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3650455"/>
    </w:sdtPr>
    <w:sdtEndPr>
      <w:rPr>
        <w:rFonts w:ascii="仿宋" w:hAnsi="仿宋" w:eastAsia="仿宋" w:cs="Times New Roman"/>
        <w:b/>
      </w:rPr>
    </w:sdtEndPr>
    <w:sdtContent>
      <w:p>
        <w:pPr>
          <w:pStyle w:val="3"/>
          <w:jc w:val="center"/>
          <w:rPr>
            <w:rFonts w:hint="eastAsia" w:ascii="仿宋" w:hAnsi="仿宋" w:eastAsia="仿宋" w:cs="Times New Roman"/>
            <w:b/>
          </w:rPr>
        </w:pPr>
        <w:r>
          <w:rPr>
            <w:rFonts w:ascii="仿宋" w:hAnsi="仿宋" w:eastAsia="仿宋" w:cs="Times New Roman"/>
            <w:b/>
          </w:rPr>
          <w:fldChar w:fldCharType="begin"/>
        </w:r>
        <w:r>
          <w:rPr>
            <w:rFonts w:ascii="仿宋" w:hAnsi="仿宋" w:eastAsia="仿宋" w:cs="Times New Roman"/>
            <w:b/>
          </w:rPr>
          <w:instrText xml:space="preserve"> PAGE   \* MERGEFORMAT </w:instrText>
        </w:r>
        <w:r>
          <w:rPr>
            <w:rFonts w:ascii="仿宋" w:hAnsi="仿宋" w:eastAsia="仿宋" w:cs="Times New Roman"/>
            <w:b/>
          </w:rPr>
          <w:fldChar w:fldCharType="separate"/>
        </w:r>
        <w:r>
          <w:rPr>
            <w:rFonts w:ascii="仿宋" w:hAnsi="仿宋" w:eastAsia="仿宋" w:cs="Times New Roman"/>
            <w:b/>
            <w:lang w:val="zh-CN"/>
          </w:rPr>
          <w:t>-</w:t>
        </w:r>
        <w:r>
          <w:rPr>
            <w:rFonts w:ascii="仿宋" w:hAnsi="仿宋" w:eastAsia="仿宋" w:cs="Times New Roman"/>
            <w:b/>
          </w:rPr>
          <w:t xml:space="preserve"> 9 -</w:t>
        </w:r>
        <w:r>
          <w:rPr>
            <w:rFonts w:ascii="仿宋" w:hAnsi="仿宋" w:eastAsia="仿宋" w:cs="Times New Roman"/>
            <w:b/>
          </w:rPr>
          <w:fldChar w:fldCharType="end"/>
        </w:r>
      </w:p>
    </w:sdtContent>
  </w:sdt>
  <w:p>
    <w:pPr>
      <w:pStyle w:val="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cumentProtection w:enforcement="0"/>
  <w:defaultTabStop w:val="420"/>
  <w:drawingGridHorizontalSpacing w:val="1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mQ4YmM3ODM4MTYxZWY3ODA1ZGMwNjc4ZTE2MTdiMWQifQ=="/>
  </w:docVars>
  <w:rsids>
    <w:rsidRoot w:val="004E4AA5"/>
    <w:rsid w:val="00006EA7"/>
    <w:rsid w:val="00013F78"/>
    <w:rsid w:val="00015243"/>
    <w:rsid w:val="000156DE"/>
    <w:rsid w:val="000165D5"/>
    <w:rsid w:val="00021139"/>
    <w:rsid w:val="00024907"/>
    <w:rsid w:val="0002631D"/>
    <w:rsid w:val="00026E00"/>
    <w:rsid w:val="0003030C"/>
    <w:rsid w:val="00031715"/>
    <w:rsid w:val="0003577F"/>
    <w:rsid w:val="00036603"/>
    <w:rsid w:val="00040E89"/>
    <w:rsid w:val="00041869"/>
    <w:rsid w:val="0004320C"/>
    <w:rsid w:val="00043DA7"/>
    <w:rsid w:val="00045946"/>
    <w:rsid w:val="00061E2D"/>
    <w:rsid w:val="0006413F"/>
    <w:rsid w:val="00064F92"/>
    <w:rsid w:val="00065827"/>
    <w:rsid w:val="00071A98"/>
    <w:rsid w:val="00071FF6"/>
    <w:rsid w:val="00090394"/>
    <w:rsid w:val="000A07D6"/>
    <w:rsid w:val="000A158B"/>
    <w:rsid w:val="000A2B3D"/>
    <w:rsid w:val="000A6C33"/>
    <w:rsid w:val="000A7227"/>
    <w:rsid w:val="000B0D94"/>
    <w:rsid w:val="000B35C6"/>
    <w:rsid w:val="000D2D7E"/>
    <w:rsid w:val="000D3020"/>
    <w:rsid w:val="000D576A"/>
    <w:rsid w:val="000E0E5E"/>
    <w:rsid w:val="000E1BB2"/>
    <w:rsid w:val="000E31A1"/>
    <w:rsid w:val="000F1354"/>
    <w:rsid w:val="000F43FD"/>
    <w:rsid w:val="000F5EF6"/>
    <w:rsid w:val="00104687"/>
    <w:rsid w:val="0010794C"/>
    <w:rsid w:val="00113888"/>
    <w:rsid w:val="0011489E"/>
    <w:rsid w:val="00114B14"/>
    <w:rsid w:val="0012255E"/>
    <w:rsid w:val="00134AC7"/>
    <w:rsid w:val="00134DD6"/>
    <w:rsid w:val="00135989"/>
    <w:rsid w:val="00143ED4"/>
    <w:rsid w:val="00144BDF"/>
    <w:rsid w:val="00145024"/>
    <w:rsid w:val="0014744F"/>
    <w:rsid w:val="00154890"/>
    <w:rsid w:val="0015623A"/>
    <w:rsid w:val="001626CF"/>
    <w:rsid w:val="001632DA"/>
    <w:rsid w:val="0016601F"/>
    <w:rsid w:val="0017243D"/>
    <w:rsid w:val="001763E2"/>
    <w:rsid w:val="00176841"/>
    <w:rsid w:val="00180FBE"/>
    <w:rsid w:val="001820CE"/>
    <w:rsid w:val="00182466"/>
    <w:rsid w:val="001872C7"/>
    <w:rsid w:val="00187930"/>
    <w:rsid w:val="001A07F2"/>
    <w:rsid w:val="001A153D"/>
    <w:rsid w:val="001A21FF"/>
    <w:rsid w:val="001A5FA4"/>
    <w:rsid w:val="001B2BDC"/>
    <w:rsid w:val="001B345B"/>
    <w:rsid w:val="001B4530"/>
    <w:rsid w:val="001C3EE3"/>
    <w:rsid w:val="001C6507"/>
    <w:rsid w:val="001C6BAF"/>
    <w:rsid w:val="001C7534"/>
    <w:rsid w:val="001D051D"/>
    <w:rsid w:val="001D3A17"/>
    <w:rsid w:val="001D5F57"/>
    <w:rsid w:val="001E0366"/>
    <w:rsid w:val="001E4584"/>
    <w:rsid w:val="001E6889"/>
    <w:rsid w:val="001E689F"/>
    <w:rsid w:val="001F3F13"/>
    <w:rsid w:val="001F6A0E"/>
    <w:rsid w:val="00200D06"/>
    <w:rsid w:val="002017FC"/>
    <w:rsid w:val="002027E8"/>
    <w:rsid w:val="002070F0"/>
    <w:rsid w:val="00211DE9"/>
    <w:rsid w:val="00213B4F"/>
    <w:rsid w:val="00216546"/>
    <w:rsid w:val="00221511"/>
    <w:rsid w:val="002245DB"/>
    <w:rsid w:val="00225178"/>
    <w:rsid w:val="0023351F"/>
    <w:rsid w:val="00235586"/>
    <w:rsid w:val="00241B44"/>
    <w:rsid w:val="00252E63"/>
    <w:rsid w:val="0026003A"/>
    <w:rsid w:val="00261181"/>
    <w:rsid w:val="002671A6"/>
    <w:rsid w:val="00267754"/>
    <w:rsid w:val="00275A18"/>
    <w:rsid w:val="0028055D"/>
    <w:rsid w:val="002806A5"/>
    <w:rsid w:val="00281035"/>
    <w:rsid w:val="00281A1B"/>
    <w:rsid w:val="00284D6F"/>
    <w:rsid w:val="00291035"/>
    <w:rsid w:val="00294921"/>
    <w:rsid w:val="002A110D"/>
    <w:rsid w:val="002A1B5C"/>
    <w:rsid w:val="002A796D"/>
    <w:rsid w:val="002B1039"/>
    <w:rsid w:val="002B2247"/>
    <w:rsid w:val="002B710A"/>
    <w:rsid w:val="002B74C6"/>
    <w:rsid w:val="002C0D33"/>
    <w:rsid w:val="002C39C4"/>
    <w:rsid w:val="002C4466"/>
    <w:rsid w:val="002C7CEF"/>
    <w:rsid w:val="002C7E9D"/>
    <w:rsid w:val="002D03FB"/>
    <w:rsid w:val="002D5735"/>
    <w:rsid w:val="002D7238"/>
    <w:rsid w:val="002E10F7"/>
    <w:rsid w:val="002E2D3A"/>
    <w:rsid w:val="002E580D"/>
    <w:rsid w:val="002E5D5C"/>
    <w:rsid w:val="002F13C5"/>
    <w:rsid w:val="003009CC"/>
    <w:rsid w:val="0030174F"/>
    <w:rsid w:val="003032D7"/>
    <w:rsid w:val="00303A14"/>
    <w:rsid w:val="00305324"/>
    <w:rsid w:val="00305F88"/>
    <w:rsid w:val="003073DD"/>
    <w:rsid w:val="00307F9D"/>
    <w:rsid w:val="00310EEF"/>
    <w:rsid w:val="00313157"/>
    <w:rsid w:val="003134A1"/>
    <w:rsid w:val="00316AA5"/>
    <w:rsid w:val="00317AC1"/>
    <w:rsid w:val="00323F6B"/>
    <w:rsid w:val="003245BC"/>
    <w:rsid w:val="00332C8F"/>
    <w:rsid w:val="00333769"/>
    <w:rsid w:val="00333B7B"/>
    <w:rsid w:val="00335E6E"/>
    <w:rsid w:val="003434A1"/>
    <w:rsid w:val="0034399A"/>
    <w:rsid w:val="0034593E"/>
    <w:rsid w:val="00347D40"/>
    <w:rsid w:val="00351944"/>
    <w:rsid w:val="00351C4D"/>
    <w:rsid w:val="003551A0"/>
    <w:rsid w:val="00356319"/>
    <w:rsid w:val="00361576"/>
    <w:rsid w:val="0037283D"/>
    <w:rsid w:val="003743D5"/>
    <w:rsid w:val="00374E7E"/>
    <w:rsid w:val="003754E2"/>
    <w:rsid w:val="0037589C"/>
    <w:rsid w:val="00381360"/>
    <w:rsid w:val="00390018"/>
    <w:rsid w:val="00395EE1"/>
    <w:rsid w:val="003A5132"/>
    <w:rsid w:val="003A5184"/>
    <w:rsid w:val="003A61FA"/>
    <w:rsid w:val="003B10B5"/>
    <w:rsid w:val="003B1B6C"/>
    <w:rsid w:val="003B3A37"/>
    <w:rsid w:val="003C238B"/>
    <w:rsid w:val="003C2685"/>
    <w:rsid w:val="003C5D21"/>
    <w:rsid w:val="003C76EC"/>
    <w:rsid w:val="003C7BAF"/>
    <w:rsid w:val="003D05CB"/>
    <w:rsid w:val="003D19C9"/>
    <w:rsid w:val="003D2CAB"/>
    <w:rsid w:val="003D3070"/>
    <w:rsid w:val="003D3182"/>
    <w:rsid w:val="003E6131"/>
    <w:rsid w:val="003E7799"/>
    <w:rsid w:val="003F0528"/>
    <w:rsid w:val="003F1F96"/>
    <w:rsid w:val="003F24F8"/>
    <w:rsid w:val="003F2B24"/>
    <w:rsid w:val="003F7525"/>
    <w:rsid w:val="003F7D87"/>
    <w:rsid w:val="00400368"/>
    <w:rsid w:val="00402C08"/>
    <w:rsid w:val="00402D0E"/>
    <w:rsid w:val="00402F19"/>
    <w:rsid w:val="00405841"/>
    <w:rsid w:val="004106ED"/>
    <w:rsid w:val="00412C1F"/>
    <w:rsid w:val="00414394"/>
    <w:rsid w:val="00414F09"/>
    <w:rsid w:val="004176D0"/>
    <w:rsid w:val="00423906"/>
    <w:rsid w:val="0042394C"/>
    <w:rsid w:val="004270AB"/>
    <w:rsid w:val="0043216F"/>
    <w:rsid w:val="00442A51"/>
    <w:rsid w:val="00443CB9"/>
    <w:rsid w:val="00443FF9"/>
    <w:rsid w:val="004450F5"/>
    <w:rsid w:val="00447BB5"/>
    <w:rsid w:val="00457282"/>
    <w:rsid w:val="00461B29"/>
    <w:rsid w:val="004648E9"/>
    <w:rsid w:val="00465749"/>
    <w:rsid w:val="00465770"/>
    <w:rsid w:val="00466103"/>
    <w:rsid w:val="004667EE"/>
    <w:rsid w:val="0046771D"/>
    <w:rsid w:val="004702B0"/>
    <w:rsid w:val="00470C26"/>
    <w:rsid w:val="00471233"/>
    <w:rsid w:val="0047619F"/>
    <w:rsid w:val="004763BD"/>
    <w:rsid w:val="004771FD"/>
    <w:rsid w:val="004830C3"/>
    <w:rsid w:val="00483CD2"/>
    <w:rsid w:val="00494022"/>
    <w:rsid w:val="00495647"/>
    <w:rsid w:val="004A116F"/>
    <w:rsid w:val="004A2270"/>
    <w:rsid w:val="004B0CA3"/>
    <w:rsid w:val="004B0EBF"/>
    <w:rsid w:val="004B1D9E"/>
    <w:rsid w:val="004B2F09"/>
    <w:rsid w:val="004B596F"/>
    <w:rsid w:val="004C10FF"/>
    <w:rsid w:val="004C41AB"/>
    <w:rsid w:val="004C519D"/>
    <w:rsid w:val="004D3426"/>
    <w:rsid w:val="004D34C2"/>
    <w:rsid w:val="004D5491"/>
    <w:rsid w:val="004E18E1"/>
    <w:rsid w:val="004E1D76"/>
    <w:rsid w:val="004E2094"/>
    <w:rsid w:val="004E4AA5"/>
    <w:rsid w:val="004E6B82"/>
    <w:rsid w:val="004E7177"/>
    <w:rsid w:val="004F23E2"/>
    <w:rsid w:val="004F2EBF"/>
    <w:rsid w:val="004F3D46"/>
    <w:rsid w:val="004F490D"/>
    <w:rsid w:val="004F5274"/>
    <w:rsid w:val="004F6C83"/>
    <w:rsid w:val="004F74BA"/>
    <w:rsid w:val="005013A6"/>
    <w:rsid w:val="00501D5C"/>
    <w:rsid w:val="00502685"/>
    <w:rsid w:val="005057A0"/>
    <w:rsid w:val="00506137"/>
    <w:rsid w:val="00510681"/>
    <w:rsid w:val="005116D1"/>
    <w:rsid w:val="0051688B"/>
    <w:rsid w:val="0052015C"/>
    <w:rsid w:val="00521537"/>
    <w:rsid w:val="00523290"/>
    <w:rsid w:val="00524ED4"/>
    <w:rsid w:val="00525799"/>
    <w:rsid w:val="0052656F"/>
    <w:rsid w:val="005266E8"/>
    <w:rsid w:val="00531913"/>
    <w:rsid w:val="00536370"/>
    <w:rsid w:val="00540DA1"/>
    <w:rsid w:val="00550F34"/>
    <w:rsid w:val="00554399"/>
    <w:rsid w:val="0055562F"/>
    <w:rsid w:val="00556A06"/>
    <w:rsid w:val="00561FDE"/>
    <w:rsid w:val="00566ACA"/>
    <w:rsid w:val="005726A3"/>
    <w:rsid w:val="00575D4F"/>
    <w:rsid w:val="00575F03"/>
    <w:rsid w:val="00576C0C"/>
    <w:rsid w:val="005830D1"/>
    <w:rsid w:val="00583204"/>
    <w:rsid w:val="005864FE"/>
    <w:rsid w:val="00587B75"/>
    <w:rsid w:val="0059457E"/>
    <w:rsid w:val="00595441"/>
    <w:rsid w:val="00595CD9"/>
    <w:rsid w:val="00596EDC"/>
    <w:rsid w:val="005A14FE"/>
    <w:rsid w:val="005A53DA"/>
    <w:rsid w:val="005B024D"/>
    <w:rsid w:val="005B0FD0"/>
    <w:rsid w:val="005B2465"/>
    <w:rsid w:val="005B25E9"/>
    <w:rsid w:val="005B4E0C"/>
    <w:rsid w:val="005B546B"/>
    <w:rsid w:val="005B69F8"/>
    <w:rsid w:val="005C1603"/>
    <w:rsid w:val="005C1EEE"/>
    <w:rsid w:val="005C2996"/>
    <w:rsid w:val="005C5B9C"/>
    <w:rsid w:val="005C6CE5"/>
    <w:rsid w:val="005D39AF"/>
    <w:rsid w:val="005D44A1"/>
    <w:rsid w:val="005D6989"/>
    <w:rsid w:val="005E497F"/>
    <w:rsid w:val="005F6148"/>
    <w:rsid w:val="005F720A"/>
    <w:rsid w:val="00600297"/>
    <w:rsid w:val="0060032C"/>
    <w:rsid w:val="0060113A"/>
    <w:rsid w:val="00601620"/>
    <w:rsid w:val="0060476E"/>
    <w:rsid w:val="00606120"/>
    <w:rsid w:val="00614F2E"/>
    <w:rsid w:val="00616E59"/>
    <w:rsid w:val="006239D4"/>
    <w:rsid w:val="0062420A"/>
    <w:rsid w:val="00625685"/>
    <w:rsid w:val="006344B9"/>
    <w:rsid w:val="006344F3"/>
    <w:rsid w:val="00637A11"/>
    <w:rsid w:val="00642884"/>
    <w:rsid w:val="00650B5C"/>
    <w:rsid w:val="0065190C"/>
    <w:rsid w:val="006521BC"/>
    <w:rsid w:val="006555EC"/>
    <w:rsid w:val="00660287"/>
    <w:rsid w:val="00662D54"/>
    <w:rsid w:val="00664CB3"/>
    <w:rsid w:val="00667E0B"/>
    <w:rsid w:val="0067004F"/>
    <w:rsid w:val="00670C0C"/>
    <w:rsid w:val="00670D31"/>
    <w:rsid w:val="00671816"/>
    <w:rsid w:val="00674865"/>
    <w:rsid w:val="00685770"/>
    <w:rsid w:val="00691A22"/>
    <w:rsid w:val="00691EFC"/>
    <w:rsid w:val="00692A6F"/>
    <w:rsid w:val="00696EFA"/>
    <w:rsid w:val="0069723F"/>
    <w:rsid w:val="0069775F"/>
    <w:rsid w:val="006A1FC5"/>
    <w:rsid w:val="006A20A0"/>
    <w:rsid w:val="006A2D0D"/>
    <w:rsid w:val="006A6818"/>
    <w:rsid w:val="006A6A7C"/>
    <w:rsid w:val="006B1965"/>
    <w:rsid w:val="006C0870"/>
    <w:rsid w:val="006C0F58"/>
    <w:rsid w:val="006C5BD4"/>
    <w:rsid w:val="006C6512"/>
    <w:rsid w:val="006C7F3A"/>
    <w:rsid w:val="006D2663"/>
    <w:rsid w:val="006F080E"/>
    <w:rsid w:val="006F7F9F"/>
    <w:rsid w:val="00700145"/>
    <w:rsid w:val="00703614"/>
    <w:rsid w:val="00704C63"/>
    <w:rsid w:val="00704D14"/>
    <w:rsid w:val="00705696"/>
    <w:rsid w:val="00706ABE"/>
    <w:rsid w:val="00707473"/>
    <w:rsid w:val="00712FB5"/>
    <w:rsid w:val="00714EB1"/>
    <w:rsid w:val="007208CA"/>
    <w:rsid w:val="00725996"/>
    <w:rsid w:val="00733742"/>
    <w:rsid w:val="00734A4D"/>
    <w:rsid w:val="00734CFA"/>
    <w:rsid w:val="00735AE8"/>
    <w:rsid w:val="00743E52"/>
    <w:rsid w:val="0074618B"/>
    <w:rsid w:val="00746C4E"/>
    <w:rsid w:val="007470B8"/>
    <w:rsid w:val="00751938"/>
    <w:rsid w:val="00753395"/>
    <w:rsid w:val="00754B0C"/>
    <w:rsid w:val="007567CC"/>
    <w:rsid w:val="00756968"/>
    <w:rsid w:val="00760CB3"/>
    <w:rsid w:val="0077174D"/>
    <w:rsid w:val="00773D3B"/>
    <w:rsid w:val="00774963"/>
    <w:rsid w:val="00776E54"/>
    <w:rsid w:val="00780B35"/>
    <w:rsid w:val="00781B77"/>
    <w:rsid w:val="00785798"/>
    <w:rsid w:val="00793A4B"/>
    <w:rsid w:val="00793D45"/>
    <w:rsid w:val="007940D9"/>
    <w:rsid w:val="0079424A"/>
    <w:rsid w:val="00796D10"/>
    <w:rsid w:val="007971F8"/>
    <w:rsid w:val="0079767C"/>
    <w:rsid w:val="007A1535"/>
    <w:rsid w:val="007A3CE0"/>
    <w:rsid w:val="007A708D"/>
    <w:rsid w:val="007B6C8C"/>
    <w:rsid w:val="007B6CAA"/>
    <w:rsid w:val="007B700B"/>
    <w:rsid w:val="007B75E6"/>
    <w:rsid w:val="007C05EB"/>
    <w:rsid w:val="007C0D28"/>
    <w:rsid w:val="007C2CD2"/>
    <w:rsid w:val="007C44A9"/>
    <w:rsid w:val="007C7D79"/>
    <w:rsid w:val="007D0D09"/>
    <w:rsid w:val="007D1F05"/>
    <w:rsid w:val="007D58FA"/>
    <w:rsid w:val="007D621C"/>
    <w:rsid w:val="007D7801"/>
    <w:rsid w:val="007F3B95"/>
    <w:rsid w:val="007F6196"/>
    <w:rsid w:val="007F7A57"/>
    <w:rsid w:val="00800733"/>
    <w:rsid w:val="00802F55"/>
    <w:rsid w:val="0081397E"/>
    <w:rsid w:val="0081561A"/>
    <w:rsid w:val="00816BBA"/>
    <w:rsid w:val="00820A8D"/>
    <w:rsid w:val="008251F8"/>
    <w:rsid w:val="008267A9"/>
    <w:rsid w:val="00832D90"/>
    <w:rsid w:val="008508E0"/>
    <w:rsid w:val="00852730"/>
    <w:rsid w:val="0086120A"/>
    <w:rsid w:val="00862CA4"/>
    <w:rsid w:val="008640B8"/>
    <w:rsid w:val="00864F74"/>
    <w:rsid w:val="00871ECB"/>
    <w:rsid w:val="0087259E"/>
    <w:rsid w:val="008733E7"/>
    <w:rsid w:val="00886831"/>
    <w:rsid w:val="00891876"/>
    <w:rsid w:val="00892161"/>
    <w:rsid w:val="008941A5"/>
    <w:rsid w:val="00894EBB"/>
    <w:rsid w:val="008968E4"/>
    <w:rsid w:val="008A064B"/>
    <w:rsid w:val="008A1D98"/>
    <w:rsid w:val="008A25D2"/>
    <w:rsid w:val="008A7AD4"/>
    <w:rsid w:val="008B1BE1"/>
    <w:rsid w:val="008B24CC"/>
    <w:rsid w:val="008B5DB2"/>
    <w:rsid w:val="008C1D47"/>
    <w:rsid w:val="008D0894"/>
    <w:rsid w:val="008D1D79"/>
    <w:rsid w:val="008D73FF"/>
    <w:rsid w:val="008D75CD"/>
    <w:rsid w:val="008E025D"/>
    <w:rsid w:val="008E106A"/>
    <w:rsid w:val="008E2DD1"/>
    <w:rsid w:val="008E39F5"/>
    <w:rsid w:val="008E5356"/>
    <w:rsid w:val="008F1C23"/>
    <w:rsid w:val="008F5994"/>
    <w:rsid w:val="008F5F12"/>
    <w:rsid w:val="008F6053"/>
    <w:rsid w:val="00901DC4"/>
    <w:rsid w:val="00901F0B"/>
    <w:rsid w:val="009020FD"/>
    <w:rsid w:val="009024FB"/>
    <w:rsid w:val="00902C2E"/>
    <w:rsid w:val="009056B9"/>
    <w:rsid w:val="00907EDD"/>
    <w:rsid w:val="00912283"/>
    <w:rsid w:val="009127BA"/>
    <w:rsid w:val="00913067"/>
    <w:rsid w:val="009149D5"/>
    <w:rsid w:val="00920D73"/>
    <w:rsid w:val="00921FA4"/>
    <w:rsid w:val="00925E42"/>
    <w:rsid w:val="009263DA"/>
    <w:rsid w:val="00927AE2"/>
    <w:rsid w:val="009307C8"/>
    <w:rsid w:val="009309CF"/>
    <w:rsid w:val="00932551"/>
    <w:rsid w:val="00934E25"/>
    <w:rsid w:val="00940AE3"/>
    <w:rsid w:val="00941CEF"/>
    <w:rsid w:val="00943835"/>
    <w:rsid w:val="00945D26"/>
    <w:rsid w:val="00946AEA"/>
    <w:rsid w:val="00946D79"/>
    <w:rsid w:val="00951637"/>
    <w:rsid w:val="00951B3E"/>
    <w:rsid w:val="009538B5"/>
    <w:rsid w:val="009575FB"/>
    <w:rsid w:val="00970321"/>
    <w:rsid w:val="009710B0"/>
    <w:rsid w:val="00974C02"/>
    <w:rsid w:val="009762A1"/>
    <w:rsid w:val="00976831"/>
    <w:rsid w:val="00976A17"/>
    <w:rsid w:val="00977496"/>
    <w:rsid w:val="009822A6"/>
    <w:rsid w:val="009845C0"/>
    <w:rsid w:val="00987EBA"/>
    <w:rsid w:val="0099679D"/>
    <w:rsid w:val="00996ABF"/>
    <w:rsid w:val="009A7FE0"/>
    <w:rsid w:val="009B0842"/>
    <w:rsid w:val="009B40D4"/>
    <w:rsid w:val="009B7886"/>
    <w:rsid w:val="009C0906"/>
    <w:rsid w:val="009C2562"/>
    <w:rsid w:val="009C27C7"/>
    <w:rsid w:val="009C79A0"/>
    <w:rsid w:val="009D3273"/>
    <w:rsid w:val="009D4135"/>
    <w:rsid w:val="009D4B52"/>
    <w:rsid w:val="009D53E4"/>
    <w:rsid w:val="009E7703"/>
    <w:rsid w:val="009F1510"/>
    <w:rsid w:val="009F1DB7"/>
    <w:rsid w:val="009F67A9"/>
    <w:rsid w:val="009F7330"/>
    <w:rsid w:val="009F78C3"/>
    <w:rsid w:val="00A00347"/>
    <w:rsid w:val="00A00D3D"/>
    <w:rsid w:val="00A0155F"/>
    <w:rsid w:val="00A0385A"/>
    <w:rsid w:val="00A04C48"/>
    <w:rsid w:val="00A14826"/>
    <w:rsid w:val="00A2152F"/>
    <w:rsid w:val="00A23592"/>
    <w:rsid w:val="00A24353"/>
    <w:rsid w:val="00A2520D"/>
    <w:rsid w:val="00A258A7"/>
    <w:rsid w:val="00A26F54"/>
    <w:rsid w:val="00A27F24"/>
    <w:rsid w:val="00A31A5F"/>
    <w:rsid w:val="00A34743"/>
    <w:rsid w:val="00A34F86"/>
    <w:rsid w:val="00A35A3B"/>
    <w:rsid w:val="00A3775B"/>
    <w:rsid w:val="00A46955"/>
    <w:rsid w:val="00A469BC"/>
    <w:rsid w:val="00A46CAC"/>
    <w:rsid w:val="00A52560"/>
    <w:rsid w:val="00A53BE6"/>
    <w:rsid w:val="00A5583F"/>
    <w:rsid w:val="00A573F4"/>
    <w:rsid w:val="00A61D5C"/>
    <w:rsid w:val="00A6297E"/>
    <w:rsid w:val="00A63D3B"/>
    <w:rsid w:val="00A67AB1"/>
    <w:rsid w:val="00A70E96"/>
    <w:rsid w:val="00A75D20"/>
    <w:rsid w:val="00A81565"/>
    <w:rsid w:val="00A82EDF"/>
    <w:rsid w:val="00A833B9"/>
    <w:rsid w:val="00A949AA"/>
    <w:rsid w:val="00A96001"/>
    <w:rsid w:val="00AA1A1B"/>
    <w:rsid w:val="00AB0DEB"/>
    <w:rsid w:val="00AB0FE7"/>
    <w:rsid w:val="00AB3A74"/>
    <w:rsid w:val="00AB6E47"/>
    <w:rsid w:val="00AB7E11"/>
    <w:rsid w:val="00AC015A"/>
    <w:rsid w:val="00AC1AF3"/>
    <w:rsid w:val="00AC35C7"/>
    <w:rsid w:val="00AC5076"/>
    <w:rsid w:val="00AC6F74"/>
    <w:rsid w:val="00AC7B7B"/>
    <w:rsid w:val="00AD0BE4"/>
    <w:rsid w:val="00AD1C2E"/>
    <w:rsid w:val="00AD3AAC"/>
    <w:rsid w:val="00AD3C96"/>
    <w:rsid w:val="00AD605D"/>
    <w:rsid w:val="00AD6763"/>
    <w:rsid w:val="00AD6EAB"/>
    <w:rsid w:val="00AE24F1"/>
    <w:rsid w:val="00AE3D71"/>
    <w:rsid w:val="00AF7792"/>
    <w:rsid w:val="00AF7CDA"/>
    <w:rsid w:val="00B03760"/>
    <w:rsid w:val="00B07D73"/>
    <w:rsid w:val="00B1301B"/>
    <w:rsid w:val="00B156D9"/>
    <w:rsid w:val="00B171FE"/>
    <w:rsid w:val="00B208D5"/>
    <w:rsid w:val="00B209D2"/>
    <w:rsid w:val="00B220FD"/>
    <w:rsid w:val="00B22528"/>
    <w:rsid w:val="00B2356E"/>
    <w:rsid w:val="00B27BF9"/>
    <w:rsid w:val="00B31374"/>
    <w:rsid w:val="00B33DC9"/>
    <w:rsid w:val="00B3763F"/>
    <w:rsid w:val="00B37B96"/>
    <w:rsid w:val="00B40C8B"/>
    <w:rsid w:val="00B40FA9"/>
    <w:rsid w:val="00B43A22"/>
    <w:rsid w:val="00B45FBC"/>
    <w:rsid w:val="00B467C0"/>
    <w:rsid w:val="00B5258E"/>
    <w:rsid w:val="00B56706"/>
    <w:rsid w:val="00B60EB3"/>
    <w:rsid w:val="00B632B8"/>
    <w:rsid w:val="00B63FAD"/>
    <w:rsid w:val="00B643AD"/>
    <w:rsid w:val="00B64E6C"/>
    <w:rsid w:val="00B655C1"/>
    <w:rsid w:val="00B72C80"/>
    <w:rsid w:val="00B73620"/>
    <w:rsid w:val="00B75C4F"/>
    <w:rsid w:val="00B77A46"/>
    <w:rsid w:val="00B77D47"/>
    <w:rsid w:val="00B81160"/>
    <w:rsid w:val="00B86CEB"/>
    <w:rsid w:val="00B909B1"/>
    <w:rsid w:val="00B93A14"/>
    <w:rsid w:val="00B95790"/>
    <w:rsid w:val="00B960AC"/>
    <w:rsid w:val="00BA649D"/>
    <w:rsid w:val="00BA770B"/>
    <w:rsid w:val="00BA7787"/>
    <w:rsid w:val="00BB0A94"/>
    <w:rsid w:val="00BB0DE0"/>
    <w:rsid w:val="00BB3F37"/>
    <w:rsid w:val="00BB7866"/>
    <w:rsid w:val="00BC2925"/>
    <w:rsid w:val="00BC2EE7"/>
    <w:rsid w:val="00BC376D"/>
    <w:rsid w:val="00BC41AC"/>
    <w:rsid w:val="00BD061D"/>
    <w:rsid w:val="00BD31E1"/>
    <w:rsid w:val="00BE0594"/>
    <w:rsid w:val="00BE26AF"/>
    <w:rsid w:val="00BE2DB0"/>
    <w:rsid w:val="00BE4EEA"/>
    <w:rsid w:val="00BF28E4"/>
    <w:rsid w:val="00BF5B1C"/>
    <w:rsid w:val="00C00454"/>
    <w:rsid w:val="00C02067"/>
    <w:rsid w:val="00C02526"/>
    <w:rsid w:val="00C04DFB"/>
    <w:rsid w:val="00C05B7C"/>
    <w:rsid w:val="00C060DA"/>
    <w:rsid w:val="00C06645"/>
    <w:rsid w:val="00C15F1D"/>
    <w:rsid w:val="00C170C6"/>
    <w:rsid w:val="00C209AF"/>
    <w:rsid w:val="00C36572"/>
    <w:rsid w:val="00C54567"/>
    <w:rsid w:val="00C54C89"/>
    <w:rsid w:val="00C573C0"/>
    <w:rsid w:val="00C578B5"/>
    <w:rsid w:val="00C62736"/>
    <w:rsid w:val="00C63298"/>
    <w:rsid w:val="00C65D91"/>
    <w:rsid w:val="00C70AFB"/>
    <w:rsid w:val="00C7265D"/>
    <w:rsid w:val="00C766F3"/>
    <w:rsid w:val="00C768EB"/>
    <w:rsid w:val="00C76C8A"/>
    <w:rsid w:val="00C836E8"/>
    <w:rsid w:val="00C85A68"/>
    <w:rsid w:val="00C87F87"/>
    <w:rsid w:val="00C90CEA"/>
    <w:rsid w:val="00C92847"/>
    <w:rsid w:val="00CB1F8E"/>
    <w:rsid w:val="00CC27EB"/>
    <w:rsid w:val="00CC2C1F"/>
    <w:rsid w:val="00CC4DA9"/>
    <w:rsid w:val="00CC7107"/>
    <w:rsid w:val="00CD15D6"/>
    <w:rsid w:val="00CD4786"/>
    <w:rsid w:val="00CD7750"/>
    <w:rsid w:val="00CD7E56"/>
    <w:rsid w:val="00CE5378"/>
    <w:rsid w:val="00CE6EFB"/>
    <w:rsid w:val="00CF1542"/>
    <w:rsid w:val="00CF28A3"/>
    <w:rsid w:val="00CF3B42"/>
    <w:rsid w:val="00CF4E20"/>
    <w:rsid w:val="00CF6237"/>
    <w:rsid w:val="00D02C76"/>
    <w:rsid w:val="00D0458B"/>
    <w:rsid w:val="00D10DCE"/>
    <w:rsid w:val="00D13A1A"/>
    <w:rsid w:val="00D1796D"/>
    <w:rsid w:val="00D22EA6"/>
    <w:rsid w:val="00D23671"/>
    <w:rsid w:val="00D25C69"/>
    <w:rsid w:val="00D26368"/>
    <w:rsid w:val="00D31A25"/>
    <w:rsid w:val="00D31D7A"/>
    <w:rsid w:val="00D32FC7"/>
    <w:rsid w:val="00D34A5F"/>
    <w:rsid w:val="00D50275"/>
    <w:rsid w:val="00D572C8"/>
    <w:rsid w:val="00D57656"/>
    <w:rsid w:val="00D6153A"/>
    <w:rsid w:val="00D65A17"/>
    <w:rsid w:val="00D6765F"/>
    <w:rsid w:val="00D74678"/>
    <w:rsid w:val="00D76D36"/>
    <w:rsid w:val="00D8095C"/>
    <w:rsid w:val="00D80E3C"/>
    <w:rsid w:val="00D8201A"/>
    <w:rsid w:val="00D834C4"/>
    <w:rsid w:val="00D91661"/>
    <w:rsid w:val="00D9179D"/>
    <w:rsid w:val="00D92209"/>
    <w:rsid w:val="00D969D3"/>
    <w:rsid w:val="00D978E3"/>
    <w:rsid w:val="00DA55B7"/>
    <w:rsid w:val="00DB0776"/>
    <w:rsid w:val="00DB11E6"/>
    <w:rsid w:val="00DB3897"/>
    <w:rsid w:val="00DC0DE9"/>
    <w:rsid w:val="00DC40EE"/>
    <w:rsid w:val="00DC419F"/>
    <w:rsid w:val="00DC53EC"/>
    <w:rsid w:val="00DC5A1F"/>
    <w:rsid w:val="00DC7F77"/>
    <w:rsid w:val="00DD10D8"/>
    <w:rsid w:val="00DD2295"/>
    <w:rsid w:val="00DD3A21"/>
    <w:rsid w:val="00DD3E85"/>
    <w:rsid w:val="00DD3FB1"/>
    <w:rsid w:val="00DD41D0"/>
    <w:rsid w:val="00DD4A9C"/>
    <w:rsid w:val="00DD50B1"/>
    <w:rsid w:val="00DE41B6"/>
    <w:rsid w:val="00DF2530"/>
    <w:rsid w:val="00E03C23"/>
    <w:rsid w:val="00E04B80"/>
    <w:rsid w:val="00E07328"/>
    <w:rsid w:val="00E14239"/>
    <w:rsid w:val="00E201C3"/>
    <w:rsid w:val="00E244E0"/>
    <w:rsid w:val="00E24F53"/>
    <w:rsid w:val="00E30470"/>
    <w:rsid w:val="00E30685"/>
    <w:rsid w:val="00E3091B"/>
    <w:rsid w:val="00E31E63"/>
    <w:rsid w:val="00E34B1C"/>
    <w:rsid w:val="00E44341"/>
    <w:rsid w:val="00E4446D"/>
    <w:rsid w:val="00E454BC"/>
    <w:rsid w:val="00E5504D"/>
    <w:rsid w:val="00E55549"/>
    <w:rsid w:val="00E6287D"/>
    <w:rsid w:val="00E76750"/>
    <w:rsid w:val="00E81A08"/>
    <w:rsid w:val="00E8436D"/>
    <w:rsid w:val="00E858E9"/>
    <w:rsid w:val="00E871C2"/>
    <w:rsid w:val="00E91DC1"/>
    <w:rsid w:val="00E91ED6"/>
    <w:rsid w:val="00E9251E"/>
    <w:rsid w:val="00EB04CF"/>
    <w:rsid w:val="00EB0DB5"/>
    <w:rsid w:val="00EC3457"/>
    <w:rsid w:val="00EC480F"/>
    <w:rsid w:val="00EC64F5"/>
    <w:rsid w:val="00ED075A"/>
    <w:rsid w:val="00ED2943"/>
    <w:rsid w:val="00ED4964"/>
    <w:rsid w:val="00ED4DDA"/>
    <w:rsid w:val="00ED6E8F"/>
    <w:rsid w:val="00EE04D1"/>
    <w:rsid w:val="00EE7E20"/>
    <w:rsid w:val="00EF0ECC"/>
    <w:rsid w:val="00EF298D"/>
    <w:rsid w:val="00EF2E0E"/>
    <w:rsid w:val="00EF76A4"/>
    <w:rsid w:val="00EF796F"/>
    <w:rsid w:val="00EF7B33"/>
    <w:rsid w:val="00F022F9"/>
    <w:rsid w:val="00F133B4"/>
    <w:rsid w:val="00F14A46"/>
    <w:rsid w:val="00F151B7"/>
    <w:rsid w:val="00F25F30"/>
    <w:rsid w:val="00F310D5"/>
    <w:rsid w:val="00F37055"/>
    <w:rsid w:val="00F37EA6"/>
    <w:rsid w:val="00F40EF2"/>
    <w:rsid w:val="00F419DD"/>
    <w:rsid w:val="00F4435B"/>
    <w:rsid w:val="00F51C85"/>
    <w:rsid w:val="00F66607"/>
    <w:rsid w:val="00F66BCB"/>
    <w:rsid w:val="00F671A1"/>
    <w:rsid w:val="00F6720C"/>
    <w:rsid w:val="00F70631"/>
    <w:rsid w:val="00F7572D"/>
    <w:rsid w:val="00F80B2B"/>
    <w:rsid w:val="00F81AD0"/>
    <w:rsid w:val="00F832BB"/>
    <w:rsid w:val="00F84E91"/>
    <w:rsid w:val="00F9346C"/>
    <w:rsid w:val="00F93706"/>
    <w:rsid w:val="00FA0331"/>
    <w:rsid w:val="00FA04A4"/>
    <w:rsid w:val="00FA07B7"/>
    <w:rsid w:val="00FA4A2A"/>
    <w:rsid w:val="00FA6FFE"/>
    <w:rsid w:val="00FA74DC"/>
    <w:rsid w:val="00FC0533"/>
    <w:rsid w:val="00FC11D5"/>
    <w:rsid w:val="00FC428B"/>
    <w:rsid w:val="00FC4679"/>
    <w:rsid w:val="00FD2F0A"/>
    <w:rsid w:val="00FD3863"/>
    <w:rsid w:val="00FD473B"/>
    <w:rsid w:val="00FD5AC0"/>
    <w:rsid w:val="00FE0319"/>
    <w:rsid w:val="00FE172B"/>
    <w:rsid w:val="00FE54FF"/>
    <w:rsid w:val="00FE5556"/>
    <w:rsid w:val="00FE655F"/>
    <w:rsid w:val="00FF2B5E"/>
    <w:rsid w:val="00FF2D74"/>
    <w:rsid w:val="00FF784B"/>
    <w:rsid w:val="15F712F5"/>
    <w:rsid w:val="18D07E2B"/>
    <w:rsid w:val="218C0F9F"/>
    <w:rsid w:val="24DD1A3A"/>
    <w:rsid w:val="2CCD4917"/>
    <w:rsid w:val="311F2693"/>
    <w:rsid w:val="372572EC"/>
    <w:rsid w:val="394A03B1"/>
    <w:rsid w:val="42D016E1"/>
    <w:rsid w:val="435E582A"/>
    <w:rsid w:val="4F462B19"/>
    <w:rsid w:val="52515F24"/>
    <w:rsid w:val="561362A3"/>
    <w:rsid w:val="63E37F00"/>
    <w:rsid w:val="67684767"/>
    <w:rsid w:val="6FF829AE"/>
    <w:rsid w:val="719C18C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78" w:lineRule="auto"/>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2"/>
    <w:qFormat/>
    <w:uiPriority w:val="0"/>
    <w:rPr>
      <w:sz w:val="18"/>
      <w:szCs w:val="18"/>
    </w:rPr>
  </w:style>
  <w:style w:type="paragraph" w:styleId="3">
    <w:name w:val="footer"/>
    <w:link w:val="11"/>
    <w:qFormat/>
    <w:uiPriority w:val="99"/>
    <w:pPr>
      <w:snapToGrid w:val="0"/>
      <w:spacing w:after="160" w:line="278" w:lineRule="auto"/>
    </w:pPr>
    <w:rPr>
      <w:rFonts w:asciiTheme="minorHAnsi" w:hAnsiTheme="minorHAnsi" w:eastAsiaTheme="minorEastAsia" w:cstheme="minorBidi"/>
      <w:sz w:val="18"/>
      <w:szCs w:val="18"/>
      <w:lang w:val="en-US" w:eastAsia="zh-CN" w:bidi="ar-SA"/>
    </w:rPr>
  </w:style>
  <w:style w:type="paragraph" w:styleId="4">
    <w:name w:val="header"/>
    <w:link w:val="10"/>
    <w:qFormat/>
    <w:uiPriority w:val="0"/>
    <w:pPr>
      <w:pBdr>
        <w:bottom w:val="single" w:color="auto" w:sz="6" w:space="1"/>
      </w:pBdr>
      <w:snapToGrid w:val="0"/>
      <w:spacing w:after="160" w:line="278" w:lineRule="auto"/>
      <w:jc w:val="center"/>
    </w:pPr>
    <w:rPr>
      <w:rFonts w:asciiTheme="minorHAnsi" w:hAnsiTheme="minorHAnsi" w:eastAsiaTheme="minorEastAsia" w:cstheme="minorBidi"/>
      <w:sz w:val="18"/>
      <w:szCs w:val="18"/>
      <w:lang w:val="en-US" w:eastAsia="zh-CN" w:bidi="ar-SA"/>
    </w:rPr>
  </w:style>
  <w:style w:type="paragraph" w:styleId="7">
    <w:name w:val="List Paragraph"/>
    <w:qFormat/>
    <w:uiPriority w:val="99"/>
    <w:pPr>
      <w:spacing w:after="160" w:line="278" w:lineRule="auto"/>
      <w:ind w:firstLine="420" w:firstLineChars="200"/>
    </w:pPr>
    <w:rPr>
      <w:rFonts w:asciiTheme="minorHAnsi" w:hAnsiTheme="minorHAnsi" w:eastAsiaTheme="minorEastAsia" w:cstheme="minorBidi"/>
      <w:lang w:val="en-US" w:eastAsia="zh-CN" w:bidi="ar-SA"/>
    </w:rPr>
  </w:style>
  <w:style w:type="character" w:customStyle="1" w:styleId="8">
    <w:name w:val="页眉 Char"/>
    <w:basedOn w:val="6"/>
    <w:qFormat/>
    <w:uiPriority w:val="0"/>
    <w:rPr>
      <w:kern w:val="2"/>
      <w:sz w:val="18"/>
      <w:szCs w:val="18"/>
    </w:rPr>
  </w:style>
  <w:style w:type="character" w:customStyle="1" w:styleId="9">
    <w:name w:val="页脚 Char"/>
    <w:basedOn w:val="6"/>
    <w:qFormat/>
    <w:uiPriority w:val="99"/>
    <w:rPr>
      <w:kern w:val="2"/>
      <w:sz w:val="18"/>
      <w:szCs w:val="18"/>
    </w:rPr>
  </w:style>
  <w:style w:type="character" w:customStyle="1" w:styleId="10">
    <w:name w:val="页眉 字符"/>
    <w:link w:val="4"/>
    <w:qFormat/>
    <w:uiPriority w:val="0"/>
    <w:rPr>
      <w:kern w:val="2"/>
      <w:sz w:val="18"/>
      <w:szCs w:val="18"/>
    </w:rPr>
  </w:style>
  <w:style w:type="character" w:customStyle="1" w:styleId="11">
    <w:name w:val="页脚 字符"/>
    <w:link w:val="3"/>
    <w:qFormat/>
    <w:uiPriority w:val="99"/>
    <w:rPr>
      <w:kern w:val="2"/>
      <w:sz w:val="18"/>
      <w:szCs w:val="18"/>
    </w:rPr>
  </w:style>
  <w:style w:type="character" w:customStyle="1" w:styleId="12">
    <w:name w:val="批注框文本 字符"/>
    <w:basedOn w:val="6"/>
    <w:link w:val="2"/>
    <w:qFormat/>
    <w:uiPriority w:val="0"/>
    <w:rPr>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lumMod val="102000"/>
                <a:satMod val="103000"/>
                <a:tint val="94000"/>
              </a:schemeClr>
            </a:gs>
            <a:gs pos="50000">
              <a:schemeClr val="phClr">
                <a:lumMod val="100000"/>
                <a:satMod val="11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satMod val="170000"/>
            <a:tint val="95000"/>
          </a:schemeClr>
        </a:solidFill>
        <a:gradFill rotWithShape="1">
          <a:gsLst>
            <a:gs pos="0">
              <a:schemeClr val="phClr">
                <a:lumMod val="102000"/>
                <a:satMod val="150000"/>
                <a:shade val="98000"/>
                <a:tint val="93000"/>
              </a:schemeClr>
            </a:gs>
            <a:gs pos="50000">
              <a:schemeClr val="phClr">
                <a:lumMod val="103000"/>
                <a:satMod val="130000"/>
                <a:shade val="90000"/>
                <a:tint val="98000"/>
              </a:schemeClr>
            </a:gs>
            <a:gs pos="100000">
              <a:schemeClr val="phClr">
                <a:satMod val="120000"/>
                <a:shade val="63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48DAACF-FEA5-4D34-BE71-A4740478E3A3}">
  <ds:schemaRefs/>
</ds:datastoreItem>
</file>

<file path=docProps/app.xml><?xml version="1.0" encoding="utf-8"?>
<Properties xmlns="http://schemas.openxmlformats.org/officeDocument/2006/extended-properties" xmlns:vt="http://schemas.openxmlformats.org/officeDocument/2006/docPropsVTypes">
  <Template>Normal</Template>
  <Pages>10</Pages>
  <Words>685</Words>
  <Characters>3907</Characters>
  <Lines>32</Lines>
  <Paragraphs>9</Paragraphs>
  <TotalTime>11</TotalTime>
  <ScaleCrop>false</ScaleCrop>
  <LinksUpToDate>false</LinksUpToDate>
  <CharactersWithSpaces>4583</CharactersWithSpaces>
  <Application>WPS Office_11.8.6.9023_F1E327BC-269C-435d-A152-05C5408002CA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2024-08-05T03:37:00Z</dcterms:created>
  <dc:creator>Administrator</dc:creator>
  <cp:lastModifiedBy>Dell</cp:lastModifiedBy>
  <cp:lastPrinted>2024-07-18T06:21:00Z</cp:lastPrinted>
  <dcterms:modified xsi:type="dcterms:W3CDTF">2024-08-14T07:23:44Z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2052-11.8.6.9023</vt:lpwstr>
  </property>
  <property fmtid="{D5CDD505-2E9C-101B-9397-08002B2CF9AE}" pid="3" name="ICV">
    <vt:lpwstr>90F3BAF7461241C2932180FB0714411F_12</vt:lpwstr>
  </property>
</Properties>
</file>