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359" w:rsidRDefault="006F0E82" w:rsidP="003B7401">
      <w:pPr>
        <w:ind w:firstLineChars="650" w:firstLine="1950"/>
        <w:rPr>
          <w:sz w:val="30"/>
          <w:szCs w:val="30"/>
        </w:rPr>
      </w:pPr>
      <w:r>
        <w:rPr>
          <w:rFonts w:hint="eastAsia"/>
          <w:sz w:val="30"/>
          <w:szCs w:val="30"/>
        </w:rPr>
        <w:t>长春市市场监督管理局南关分局</w:t>
      </w:r>
    </w:p>
    <w:p w:rsidR="00010359" w:rsidRDefault="006F0E82" w:rsidP="003B7401">
      <w:pPr>
        <w:jc w:val="center"/>
        <w:rPr>
          <w:color w:val="231F20"/>
          <w:sz w:val="30"/>
          <w:szCs w:val="30"/>
        </w:rPr>
      </w:pPr>
      <w:r>
        <w:rPr>
          <w:rFonts w:hint="eastAsia"/>
          <w:color w:val="231F20"/>
          <w:sz w:val="30"/>
          <w:szCs w:val="30"/>
        </w:rPr>
        <w:t>关于</w:t>
      </w:r>
      <w:r w:rsidR="00410A67">
        <w:rPr>
          <w:rFonts w:hint="eastAsia"/>
          <w:color w:val="231F20"/>
          <w:sz w:val="30"/>
          <w:szCs w:val="30"/>
          <w:u w:val="single"/>
        </w:rPr>
        <w:t>南关区近埠市场新新蔬菜摊床</w:t>
      </w:r>
      <w:r>
        <w:rPr>
          <w:rFonts w:hint="eastAsia"/>
          <w:color w:val="231F20"/>
          <w:sz w:val="30"/>
          <w:szCs w:val="30"/>
        </w:rPr>
        <w:t>销售不合格食品核查处置情况的报告</w:t>
      </w:r>
    </w:p>
    <w:p w:rsidR="00010359" w:rsidRDefault="00010359">
      <w:pPr>
        <w:rPr>
          <w:color w:val="231F20"/>
          <w:sz w:val="30"/>
          <w:szCs w:val="30"/>
        </w:rPr>
      </w:pPr>
    </w:p>
    <w:p w:rsidR="00010359" w:rsidRDefault="006F0E82">
      <w:pPr>
        <w:numPr>
          <w:ilvl w:val="0"/>
          <w:numId w:val="1"/>
        </w:numPr>
        <w:rPr>
          <w:rFonts w:ascii="宋体" w:hAnsi="宋体" w:cs="宋体"/>
          <w:b/>
          <w:bCs/>
          <w:color w:val="231F20"/>
          <w:sz w:val="24"/>
        </w:rPr>
      </w:pPr>
      <w:bookmarkStart w:id="0" w:name="_GoBack"/>
      <w:r>
        <w:rPr>
          <w:rFonts w:ascii="宋体" w:hAnsi="宋体" w:cs="宋体" w:hint="eastAsia"/>
          <w:b/>
          <w:bCs/>
          <w:color w:val="231F20"/>
          <w:sz w:val="24"/>
        </w:rPr>
        <w:t>不合格食品基本情况</w:t>
      </w:r>
    </w:p>
    <w:bookmarkEnd w:id="0"/>
    <w:p w:rsidR="00010359" w:rsidRPr="00D20291" w:rsidRDefault="00410A67" w:rsidP="00410A67">
      <w:pPr>
        <w:ind w:firstLineChars="200" w:firstLine="560"/>
        <w:rPr>
          <w:rFonts w:ascii="宋体" w:hAnsi="宋体" w:cs="宋体"/>
          <w:color w:val="231F20"/>
          <w:sz w:val="28"/>
          <w:szCs w:val="28"/>
          <w:u w:val="single"/>
        </w:rPr>
      </w:pPr>
      <w:r w:rsidRPr="00410A67">
        <w:rPr>
          <w:rFonts w:ascii="宋体" w:hAnsi="宋体" w:cs="宋体" w:hint="eastAsia"/>
          <w:color w:val="231F20"/>
          <w:sz w:val="28"/>
          <w:szCs w:val="28"/>
          <w:u w:val="single"/>
        </w:rPr>
        <w:t>2020年8月12日我局接到长春市市场监督管理局委托抽检的国家食品安全抽样检验报告（No:NCP20220100239540450），经抽样检验，南关区近埠市场新新蔬菜摊床销售的油菜，甲氨基阿维菌素苯甲酸盐项目不符合GB2763-2019《食品安全国家标准 食品中农药最大残留限量》要求，检验结论为不合格</w:t>
      </w:r>
      <w:r w:rsidR="006F0E82" w:rsidRPr="00D20291">
        <w:rPr>
          <w:rFonts w:ascii="宋体" w:hAnsi="宋体" w:cs="宋体" w:hint="eastAsia"/>
          <w:color w:val="231F20"/>
          <w:sz w:val="28"/>
          <w:szCs w:val="28"/>
          <w:u w:val="single"/>
        </w:rPr>
        <w:t>。</w:t>
      </w:r>
    </w:p>
    <w:p w:rsidR="00010359" w:rsidRDefault="00010359">
      <w:pPr>
        <w:rPr>
          <w:rFonts w:ascii="宋体" w:hAnsi="宋体" w:cs="宋体"/>
          <w:color w:val="231F20"/>
          <w:sz w:val="24"/>
        </w:rPr>
      </w:pPr>
    </w:p>
    <w:p w:rsidR="00010359" w:rsidRDefault="006F0E82">
      <w:pPr>
        <w:rPr>
          <w:rFonts w:ascii="宋体" w:hAnsi="宋体" w:cs="宋体"/>
          <w:b/>
          <w:bCs/>
          <w:color w:val="231F20"/>
          <w:sz w:val="24"/>
        </w:rPr>
      </w:pPr>
      <w:r>
        <w:rPr>
          <w:rFonts w:ascii="宋体" w:hAnsi="宋体" w:cs="宋体" w:hint="eastAsia"/>
          <w:b/>
          <w:bCs/>
          <w:color w:val="231F20"/>
          <w:sz w:val="24"/>
        </w:rPr>
        <w:t>二．</w:t>
      </w:r>
      <w:r>
        <w:rPr>
          <w:rFonts w:ascii="宋体" w:hAnsi="宋体" w:cs="宋体" w:hint="eastAsia"/>
          <w:b/>
          <w:bCs/>
          <w:color w:val="231F20"/>
          <w:sz w:val="24"/>
        </w:rPr>
        <w:t>核查处置情况</w:t>
      </w:r>
    </w:p>
    <w:p w:rsidR="00010359" w:rsidRDefault="006F0E82">
      <w:pPr>
        <w:rPr>
          <w:rFonts w:ascii="宋体" w:hAnsi="宋体" w:cs="宋体"/>
          <w:b/>
          <w:bCs/>
          <w:color w:val="231F20"/>
          <w:sz w:val="24"/>
        </w:rPr>
      </w:pPr>
      <w:r>
        <w:rPr>
          <w:rFonts w:ascii="宋体" w:hAnsi="宋体" w:cs="宋体" w:hint="eastAsia"/>
          <w:b/>
          <w:bCs/>
          <w:color w:val="231F20"/>
          <w:sz w:val="24"/>
        </w:rPr>
        <w:t>产品控制情况：</w:t>
      </w:r>
    </w:p>
    <w:p w:rsidR="00010359" w:rsidRDefault="006F0E82" w:rsidP="00410A67">
      <w:pPr>
        <w:ind w:firstLineChars="200" w:firstLine="560"/>
        <w:rPr>
          <w:rFonts w:ascii="宋体" w:hAnsi="宋体" w:cs="宋体"/>
          <w:color w:val="231F20"/>
          <w:sz w:val="24"/>
          <w:u w:val="single"/>
        </w:rPr>
      </w:pPr>
      <w:r w:rsidRPr="00D20291">
        <w:rPr>
          <w:rFonts w:ascii="宋体" w:hAnsi="宋体" w:cs="宋体" w:hint="eastAsia"/>
          <w:color w:val="231F20"/>
          <w:sz w:val="28"/>
          <w:szCs w:val="28"/>
          <w:u w:val="single"/>
        </w:rPr>
        <w:t>经查，</w:t>
      </w:r>
      <w:r w:rsidR="00410A67" w:rsidRPr="00410A67">
        <w:rPr>
          <w:rFonts w:ascii="宋体" w:hAnsi="宋体" w:cs="宋体" w:hint="eastAsia"/>
          <w:color w:val="231F20"/>
          <w:sz w:val="28"/>
          <w:szCs w:val="28"/>
          <w:u w:val="single"/>
        </w:rPr>
        <w:t>该单位于2020年6月9日购进油菜10斤，共计10元，除用于抽检外，其余产品已全部售出，无剩余产品。据长春市市场监督管理局委托吉林省吉测检测技术有限公司对南关区近埠市场新新蔬菜摊床经营的油菜的抽样检验报告，检测结论为不合格。当事人能够出示供货商信息，已尽到索证索票义务，并且购进油菜时对产品不合格并不知情。</w:t>
      </w:r>
    </w:p>
    <w:p w:rsidR="00010359" w:rsidRDefault="006F0E82">
      <w:pPr>
        <w:rPr>
          <w:rFonts w:ascii="宋体" w:hAnsi="宋体" w:cs="宋体"/>
          <w:b/>
          <w:bCs/>
          <w:color w:val="231F20"/>
          <w:sz w:val="24"/>
        </w:rPr>
      </w:pPr>
      <w:r>
        <w:rPr>
          <w:rFonts w:ascii="宋体" w:hAnsi="宋体" w:cs="宋体" w:hint="eastAsia"/>
          <w:b/>
          <w:bCs/>
          <w:color w:val="231F20"/>
          <w:sz w:val="24"/>
        </w:rPr>
        <w:t>违法行为查处情况及依据：</w:t>
      </w:r>
    </w:p>
    <w:p w:rsidR="00010359" w:rsidRPr="00D20291" w:rsidRDefault="006F0E82" w:rsidP="00D20291">
      <w:pPr>
        <w:ind w:firstLineChars="200" w:firstLine="560"/>
        <w:rPr>
          <w:rFonts w:ascii="宋体" w:hAnsi="宋体" w:cs="宋体"/>
          <w:color w:val="231F20"/>
          <w:sz w:val="28"/>
          <w:szCs w:val="28"/>
          <w:u w:val="single"/>
        </w:rPr>
      </w:pPr>
      <w:r w:rsidRPr="00D20291">
        <w:rPr>
          <w:rFonts w:ascii="宋体" w:hAnsi="宋体" w:cs="宋体" w:hint="eastAsia"/>
          <w:color w:val="231F20"/>
          <w:sz w:val="28"/>
          <w:szCs w:val="28"/>
          <w:u w:val="single"/>
        </w:rPr>
        <w:t>该单位涉嫌</w:t>
      </w:r>
      <w:r w:rsidRPr="00D20291">
        <w:rPr>
          <w:rFonts w:ascii="宋体" w:hAnsi="宋体" w:cs="宋体" w:hint="eastAsia"/>
          <w:color w:val="231F20"/>
          <w:sz w:val="28"/>
          <w:szCs w:val="28"/>
          <w:u w:val="single"/>
        </w:rPr>
        <w:t>违反了《中华人民共和国食品安全法》第三十四条第一款第二项</w:t>
      </w:r>
      <w:r w:rsidRPr="00D20291">
        <w:rPr>
          <w:rFonts w:ascii="宋体" w:hAnsi="宋体" w:cs="宋体" w:hint="eastAsia"/>
          <w:color w:val="231F20"/>
          <w:sz w:val="28"/>
          <w:szCs w:val="28"/>
          <w:u w:val="single"/>
        </w:rPr>
        <w:t>的规定。依据《市场监督管理局行政处罚程序规定》第十七条第一款，经主管局长批准，于</w:t>
      </w:r>
      <w:r w:rsidRPr="00D20291">
        <w:rPr>
          <w:rFonts w:ascii="宋体" w:hAnsi="宋体" w:cs="宋体" w:hint="eastAsia"/>
          <w:color w:val="231F20"/>
          <w:sz w:val="28"/>
          <w:szCs w:val="28"/>
          <w:u w:val="single"/>
        </w:rPr>
        <w:t>2020</w:t>
      </w:r>
      <w:r w:rsidRPr="00D20291">
        <w:rPr>
          <w:rFonts w:ascii="宋体" w:hAnsi="宋体" w:cs="宋体" w:hint="eastAsia"/>
          <w:color w:val="231F20"/>
          <w:sz w:val="28"/>
          <w:szCs w:val="28"/>
          <w:u w:val="single"/>
        </w:rPr>
        <w:t>年</w:t>
      </w:r>
      <w:r w:rsidR="00D20291" w:rsidRPr="00D20291">
        <w:rPr>
          <w:rFonts w:ascii="宋体" w:hAnsi="宋体" w:cs="宋体" w:hint="eastAsia"/>
          <w:color w:val="231F20"/>
          <w:sz w:val="28"/>
          <w:szCs w:val="28"/>
          <w:u w:val="single"/>
        </w:rPr>
        <w:t>8</w:t>
      </w:r>
      <w:r w:rsidRPr="00D20291">
        <w:rPr>
          <w:rFonts w:ascii="宋体" w:hAnsi="宋体" w:cs="宋体" w:hint="eastAsia"/>
          <w:color w:val="231F20"/>
          <w:sz w:val="28"/>
          <w:szCs w:val="28"/>
          <w:u w:val="single"/>
        </w:rPr>
        <w:t>月</w:t>
      </w:r>
      <w:r w:rsidR="00D20291" w:rsidRPr="00D20291">
        <w:rPr>
          <w:rFonts w:ascii="宋体" w:hAnsi="宋体" w:cs="宋体" w:hint="eastAsia"/>
          <w:color w:val="231F20"/>
          <w:sz w:val="28"/>
          <w:szCs w:val="28"/>
          <w:u w:val="single"/>
        </w:rPr>
        <w:t>13</w:t>
      </w:r>
      <w:r w:rsidRPr="00D20291">
        <w:rPr>
          <w:rFonts w:ascii="宋体" w:hAnsi="宋体" w:cs="宋体" w:hint="eastAsia"/>
          <w:color w:val="231F20"/>
          <w:sz w:val="28"/>
          <w:szCs w:val="28"/>
          <w:u w:val="single"/>
        </w:rPr>
        <w:t>日立案调查。</w:t>
      </w:r>
    </w:p>
    <w:p w:rsidR="00010359" w:rsidRDefault="00410A67" w:rsidP="00D20291">
      <w:pPr>
        <w:ind w:firstLineChars="200" w:firstLine="560"/>
        <w:rPr>
          <w:rFonts w:cs="宋体"/>
          <w:sz w:val="24"/>
          <w:u w:val="single"/>
        </w:rPr>
      </w:pPr>
      <w:r>
        <w:rPr>
          <w:rFonts w:ascii="宋体" w:hAnsi="宋体" w:cs="宋体" w:hint="eastAsia"/>
          <w:color w:val="231F20"/>
          <w:sz w:val="28"/>
          <w:szCs w:val="28"/>
          <w:u w:val="single"/>
        </w:rPr>
        <w:t>南关区近埠市场新新蔬菜摊床</w:t>
      </w:r>
      <w:r w:rsidR="00D20291" w:rsidRPr="00D20291">
        <w:rPr>
          <w:rFonts w:ascii="宋体" w:hAnsi="宋体" w:cs="宋体" w:hint="eastAsia"/>
          <w:color w:val="231F20"/>
          <w:sz w:val="28"/>
          <w:szCs w:val="28"/>
          <w:u w:val="single"/>
        </w:rPr>
        <w:t>违反了《中华人民共和国食品安</w:t>
      </w:r>
      <w:r w:rsidR="00D20291" w:rsidRPr="00D20291">
        <w:rPr>
          <w:rFonts w:ascii="宋体" w:hAnsi="宋体" w:cs="宋体" w:hint="eastAsia"/>
          <w:color w:val="231F20"/>
          <w:sz w:val="28"/>
          <w:szCs w:val="28"/>
          <w:u w:val="single"/>
        </w:rPr>
        <w:lastRenderedPageBreak/>
        <w:t>全法》第三十四条第一款第二项“禁止生产经营下列食品、食品添加剂、食品相关产品：（二）</w:t>
      </w:r>
      <w:r w:rsidR="00D20291" w:rsidRPr="00D20291">
        <w:rPr>
          <w:rFonts w:ascii="宋体" w:hAnsi="宋体" w:cs="宋体"/>
          <w:color w:val="231F20"/>
          <w:sz w:val="28"/>
          <w:szCs w:val="28"/>
          <w:u w:val="single"/>
        </w:rPr>
        <w:t>致病性微生物，农药残留、兽药残留、生物毒素、重金属等污染物质以及其他危害人体健康的物质含量超过食品安全标准限量的食品、食品添加剂、食品相关产品</w:t>
      </w:r>
      <w:r w:rsidR="00D20291" w:rsidRPr="00D20291">
        <w:rPr>
          <w:rFonts w:ascii="宋体" w:hAnsi="宋体" w:cs="宋体" w:hint="eastAsia"/>
          <w:color w:val="231F20"/>
          <w:sz w:val="28"/>
          <w:szCs w:val="28"/>
          <w:u w:val="single"/>
        </w:rPr>
        <w:t>”。</w:t>
      </w:r>
      <w:r w:rsidR="006F0E82" w:rsidRPr="00D20291">
        <w:rPr>
          <w:rFonts w:ascii="宋体" w:hAnsi="宋体" w:cs="宋体" w:hint="eastAsia"/>
          <w:color w:val="231F20"/>
          <w:sz w:val="28"/>
          <w:szCs w:val="28"/>
          <w:u w:val="single"/>
        </w:rPr>
        <w:t>已构成销售</w:t>
      </w:r>
      <w:r w:rsidR="006F0E82" w:rsidRPr="00D20291">
        <w:rPr>
          <w:rFonts w:ascii="宋体" w:hAnsi="宋体" w:cs="宋体" w:hint="eastAsia"/>
          <w:color w:val="231F20"/>
          <w:sz w:val="28"/>
          <w:szCs w:val="28"/>
          <w:u w:val="single"/>
        </w:rPr>
        <w:t>不符合食品安全标准的食品</w:t>
      </w:r>
      <w:r w:rsidR="006F0E82" w:rsidRPr="00D20291">
        <w:rPr>
          <w:rFonts w:ascii="宋体" w:hAnsi="宋体" w:cs="宋体" w:hint="eastAsia"/>
          <w:color w:val="231F20"/>
          <w:sz w:val="28"/>
          <w:szCs w:val="28"/>
          <w:u w:val="single"/>
        </w:rPr>
        <w:t>的行为。</w:t>
      </w:r>
      <w:r w:rsidR="006F0E82" w:rsidRPr="00D20291">
        <w:rPr>
          <w:rFonts w:ascii="宋体" w:hAnsi="宋体" w:cs="宋体" w:hint="eastAsia"/>
          <w:color w:val="231F20"/>
          <w:sz w:val="28"/>
          <w:szCs w:val="28"/>
          <w:u w:val="single"/>
        </w:rPr>
        <w:t xml:space="preserve">                    </w:t>
      </w:r>
      <w:r w:rsidR="006F0E82">
        <w:rPr>
          <w:rFonts w:ascii="宋体" w:hAnsi="宋体" w:cs="宋体" w:hint="eastAsia"/>
          <w:sz w:val="24"/>
          <w:u w:val="single"/>
        </w:rPr>
        <w:t xml:space="preserve">                         </w:t>
      </w:r>
    </w:p>
    <w:p w:rsidR="00ED0840" w:rsidRPr="00ED0840" w:rsidRDefault="00ED0840" w:rsidP="00ED0840">
      <w:pPr>
        <w:ind w:firstLineChars="200" w:firstLine="560"/>
        <w:rPr>
          <w:rFonts w:ascii="宋体" w:hAnsi="宋体" w:cs="宋体" w:hint="eastAsia"/>
          <w:color w:val="231F20"/>
          <w:sz w:val="28"/>
          <w:szCs w:val="28"/>
          <w:u w:val="single"/>
        </w:rPr>
      </w:pPr>
      <w:r w:rsidRPr="00ED0840">
        <w:rPr>
          <w:rFonts w:ascii="宋体" w:hAnsi="宋体" w:cs="宋体" w:hint="eastAsia"/>
          <w:color w:val="231F20"/>
          <w:sz w:val="28"/>
          <w:szCs w:val="28"/>
          <w:u w:val="single"/>
        </w:rPr>
        <w:t>当事人对检测报告结论无异议，对采购的油菜超过食品安全标准限量的情况并不知情，并且已经履行了索证索票义务并能说明采购食品的来源。</w:t>
      </w:r>
    </w:p>
    <w:p w:rsidR="00D20291" w:rsidRDefault="00D20291" w:rsidP="00D20291">
      <w:pPr>
        <w:ind w:firstLineChars="200" w:firstLine="560"/>
        <w:rPr>
          <w:rFonts w:ascii="宋体" w:hAnsi="宋体" w:cs="宋体" w:hint="eastAsia"/>
          <w:color w:val="231F20"/>
          <w:sz w:val="28"/>
          <w:szCs w:val="28"/>
          <w:u w:val="single"/>
        </w:rPr>
      </w:pPr>
      <w:r w:rsidRPr="00D20291">
        <w:rPr>
          <w:rFonts w:ascii="宋体" w:hAnsi="宋体" w:cs="宋体" w:hint="eastAsia"/>
          <w:color w:val="231F20"/>
          <w:sz w:val="28"/>
          <w:szCs w:val="28"/>
          <w:u w:val="single"/>
        </w:rPr>
        <w:t>依据《食品安全法》第一百三十六条“</w:t>
      </w:r>
      <w:r w:rsidRPr="00D20291">
        <w:rPr>
          <w:rFonts w:ascii="宋体" w:hAnsi="宋体" w:cs="宋体"/>
          <w:color w:val="231F20"/>
          <w:sz w:val="28"/>
          <w:szCs w:val="28"/>
          <w:u w:val="single"/>
        </w:rPr>
        <w:t>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r w:rsidRPr="00D20291">
        <w:rPr>
          <w:rFonts w:ascii="宋体" w:hAnsi="宋体" w:cs="宋体" w:hint="eastAsia"/>
          <w:color w:val="231F20"/>
          <w:sz w:val="28"/>
          <w:szCs w:val="28"/>
          <w:u w:val="single"/>
        </w:rPr>
        <w:t>”的规定，食品经营者履行了本法规定的进货查验等义务，有充分证据证明其不知道所采购的食品超过食品安全标准限量，并能如实说明其进货来源，可以免予处罚。给予当事人免予行政处罚。</w:t>
      </w:r>
    </w:p>
    <w:p w:rsidR="003A1731" w:rsidRDefault="003A1731" w:rsidP="00D20291">
      <w:pPr>
        <w:ind w:firstLineChars="200" w:firstLine="560"/>
        <w:rPr>
          <w:rFonts w:ascii="宋体" w:hAnsi="宋体" w:cs="宋体" w:hint="eastAsia"/>
          <w:color w:val="231F20"/>
          <w:sz w:val="28"/>
          <w:szCs w:val="28"/>
          <w:u w:val="single"/>
        </w:rPr>
      </w:pPr>
    </w:p>
    <w:p w:rsidR="003A1731" w:rsidRPr="00D20291" w:rsidRDefault="003A1731" w:rsidP="00D20291">
      <w:pPr>
        <w:ind w:firstLineChars="200" w:firstLine="560"/>
        <w:rPr>
          <w:rFonts w:ascii="宋体" w:hAnsi="宋体" w:cs="宋体" w:hint="eastAsia"/>
          <w:color w:val="231F20"/>
          <w:sz w:val="28"/>
          <w:szCs w:val="28"/>
          <w:u w:val="single"/>
        </w:rPr>
      </w:pPr>
    </w:p>
    <w:p w:rsidR="00010359" w:rsidRPr="00D20291" w:rsidRDefault="006F0E82" w:rsidP="00D20291">
      <w:pPr>
        <w:ind w:firstLineChars="600" w:firstLine="1440"/>
        <w:rPr>
          <w:rFonts w:ascii="宋体" w:hAnsi="宋体" w:cs="宋体"/>
          <w:sz w:val="24"/>
          <w:u w:val="single"/>
        </w:rPr>
      </w:pPr>
      <w:r>
        <w:rPr>
          <w:rFonts w:ascii="宋体" w:hAnsi="宋体" w:cs="宋体" w:hint="eastAsia"/>
          <w:sz w:val="24"/>
        </w:rPr>
        <w:t xml:space="preserve">                                </w:t>
      </w:r>
      <w:r>
        <w:rPr>
          <w:rFonts w:ascii="宋体" w:hAnsi="宋体" w:cs="宋体" w:hint="eastAsia"/>
          <w:color w:val="231F20"/>
          <w:sz w:val="24"/>
        </w:rPr>
        <w:t>2020</w:t>
      </w:r>
      <w:r>
        <w:rPr>
          <w:rFonts w:ascii="宋体" w:hAnsi="宋体" w:cs="宋体" w:hint="eastAsia"/>
          <w:color w:val="231F20"/>
          <w:sz w:val="24"/>
        </w:rPr>
        <w:t>年</w:t>
      </w:r>
      <w:r w:rsidR="003A1731">
        <w:rPr>
          <w:rFonts w:ascii="宋体" w:hAnsi="宋体" w:cs="宋体" w:hint="eastAsia"/>
          <w:color w:val="231F20"/>
          <w:sz w:val="24"/>
        </w:rPr>
        <w:t>8</w:t>
      </w:r>
      <w:r>
        <w:rPr>
          <w:rFonts w:ascii="宋体" w:hAnsi="宋体" w:cs="宋体" w:hint="eastAsia"/>
          <w:color w:val="231F20"/>
          <w:sz w:val="24"/>
        </w:rPr>
        <w:t>月</w:t>
      </w:r>
      <w:r w:rsidR="003A1731">
        <w:rPr>
          <w:rFonts w:ascii="宋体" w:hAnsi="宋体" w:cs="宋体" w:hint="eastAsia"/>
          <w:color w:val="231F20"/>
          <w:sz w:val="24"/>
        </w:rPr>
        <w:t>21</w:t>
      </w:r>
      <w:r>
        <w:rPr>
          <w:rFonts w:ascii="宋体" w:hAnsi="宋体" w:cs="宋体" w:hint="eastAsia"/>
          <w:color w:val="231F20"/>
          <w:sz w:val="24"/>
        </w:rPr>
        <w:t>日</w:t>
      </w:r>
    </w:p>
    <w:p w:rsidR="00010359" w:rsidRDefault="006F0E82">
      <w:pPr>
        <w:ind w:firstLineChars="200" w:firstLine="480"/>
        <w:rPr>
          <w:rFonts w:ascii="宋体" w:hAnsi="宋体" w:cs="宋体"/>
          <w:sz w:val="24"/>
        </w:rPr>
      </w:pPr>
      <w:r>
        <w:rPr>
          <w:rFonts w:ascii="宋体" w:hAnsi="宋体" w:cs="宋体" w:hint="eastAsia"/>
          <w:sz w:val="24"/>
        </w:rPr>
        <w:t xml:space="preserve">                </w:t>
      </w:r>
    </w:p>
    <w:p w:rsidR="00010359" w:rsidRDefault="00010359">
      <w:pPr>
        <w:rPr>
          <w:rFonts w:ascii="宋体" w:hAnsi="宋体" w:cs="宋体"/>
          <w:color w:val="231F20"/>
          <w:sz w:val="28"/>
          <w:szCs w:val="28"/>
        </w:rPr>
      </w:pPr>
    </w:p>
    <w:p w:rsidR="00010359" w:rsidRDefault="006F0E82">
      <w:pPr>
        <w:rPr>
          <w:rFonts w:ascii="宋体" w:hAnsi="宋体" w:cs="宋体"/>
          <w:color w:val="231F20"/>
          <w:sz w:val="28"/>
          <w:szCs w:val="28"/>
        </w:rPr>
      </w:pPr>
      <w:r>
        <w:rPr>
          <w:rFonts w:ascii="宋体" w:hAnsi="宋体" w:cs="宋体" w:hint="eastAsia"/>
          <w:color w:val="231F20"/>
          <w:sz w:val="28"/>
          <w:szCs w:val="28"/>
        </w:rPr>
        <w:t xml:space="preserve">  </w:t>
      </w:r>
    </w:p>
    <w:sectPr w:rsidR="00010359" w:rsidSect="00010359">
      <w:headerReference w:type="default" r:id="rId8"/>
      <w:footerReference w:type="even" r:id="rId9"/>
      <w:footerReference w:type="default" r:id="rId10"/>
      <w:pgSz w:w="11906" w:h="16838"/>
      <w:pgMar w:top="1440" w:right="1797" w:bottom="1440" w:left="1797" w:header="851" w:footer="992" w:gutter="0"/>
      <w:cols w:space="72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E82" w:rsidRDefault="006F0E82" w:rsidP="00010359">
      <w:r>
        <w:separator/>
      </w:r>
    </w:p>
  </w:endnote>
  <w:endnote w:type="continuationSeparator" w:id="0">
    <w:p w:rsidR="006F0E82" w:rsidRDefault="006F0E82" w:rsidP="00010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359" w:rsidRDefault="00010359">
    <w:pPr>
      <w:pStyle w:val="a4"/>
      <w:framePr w:wrap="around" w:vAnchor="text" w:hAnchor="margin" w:xAlign="center" w:y="1"/>
      <w:rPr>
        <w:rStyle w:val="a6"/>
      </w:rPr>
    </w:pPr>
    <w:r>
      <w:fldChar w:fldCharType="begin"/>
    </w:r>
    <w:r w:rsidR="006F0E82">
      <w:rPr>
        <w:rStyle w:val="a6"/>
      </w:rPr>
      <w:instrText xml:space="preserve">PAGE  </w:instrText>
    </w:r>
    <w:r>
      <w:fldChar w:fldCharType="end"/>
    </w:r>
  </w:p>
  <w:p w:rsidR="00010359" w:rsidRDefault="0001035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359" w:rsidRDefault="00010359">
    <w:pPr>
      <w:pStyle w:val="a4"/>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filled="f" stroked="f">
          <v:textbox style="mso-fit-shape-to-text:t" inset="0,0,0,0">
            <w:txbxContent>
              <w:p w:rsidR="00010359" w:rsidRDefault="00010359">
                <w:pPr>
                  <w:pStyle w:val="a4"/>
                  <w:rPr>
                    <w:rStyle w:val="a6"/>
                  </w:rPr>
                </w:pPr>
                <w:r>
                  <w:fldChar w:fldCharType="begin"/>
                </w:r>
                <w:r w:rsidR="006F0E82">
                  <w:rPr>
                    <w:rStyle w:val="a6"/>
                  </w:rPr>
                  <w:instrText xml:space="preserve">PAGE  </w:instrText>
                </w:r>
                <w:r>
                  <w:fldChar w:fldCharType="separate"/>
                </w:r>
                <w:r w:rsidR="00ED0840">
                  <w:rPr>
                    <w:rStyle w:val="a6"/>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E82" w:rsidRDefault="006F0E82" w:rsidP="00010359">
      <w:r>
        <w:separator/>
      </w:r>
    </w:p>
  </w:footnote>
  <w:footnote w:type="continuationSeparator" w:id="0">
    <w:p w:rsidR="006F0E82" w:rsidRDefault="006F0E82" w:rsidP="000103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359" w:rsidRDefault="0001035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89265E"/>
    <w:multiLevelType w:val="singleLevel"/>
    <w:tmpl w:val="DA89265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10359"/>
    <w:rsid w:val="00010359"/>
    <w:rsid w:val="003A1731"/>
    <w:rsid w:val="003B7401"/>
    <w:rsid w:val="00410A67"/>
    <w:rsid w:val="006F0E82"/>
    <w:rsid w:val="00D20291"/>
    <w:rsid w:val="00DF7A1E"/>
    <w:rsid w:val="00ED0840"/>
    <w:rsid w:val="1083364A"/>
    <w:rsid w:val="24777F33"/>
    <w:rsid w:val="3A7724F7"/>
    <w:rsid w:val="4C4D4337"/>
    <w:rsid w:val="526E1AAB"/>
    <w:rsid w:val="5BBA6441"/>
    <w:rsid w:val="5E6F78C4"/>
    <w:rsid w:val="7F405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35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10359"/>
    <w:pPr>
      <w:ind w:left="220"/>
    </w:pPr>
    <w:rPr>
      <w:rFonts w:ascii="宋体" w:hAnsi="宋体"/>
      <w:sz w:val="32"/>
      <w:szCs w:val="32"/>
    </w:rPr>
  </w:style>
  <w:style w:type="paragraph" w:styleId="a4">
    <w:name w:val="footer"/>
    <w:basedOn w:val="a"/>
    <w:qFormat/>
    <w:rsid w:val="00010359"/>
    <w:pPr>
      <w:tabs>
        <w:tab w:val="center" w:pos="4153"/>
        <w:tab w:val="right" w:pos="8306"/>
      </w:tabs>
      <w:snapToGrid w:val="0"/>
      <w:jc w:val="left"/>
    </w:pPr>
    <w:rPr>
      <w:sz w:val="18"/>
      <w:szCs w:val="18"/>
    </w:rPr>
  </w:style>
  <w:style w:type="paragraph" w:styleId="a5">
    <w:name w:val="header"/>
    <w:basedOn w:val="a"/>
    <w:qFormat/>
    <w:rsid w:val="00010359"/>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010359"/>
  </w:style>
  <w:style w:type="character" w:styleId="a7">
    <w:name w:val="Hyperlink"/>
    <w:basedOn w:val="a0"/>
    <w:qFormat/>
    <w:rsid w:val="00010359"/>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2020-11-18T03:22:00Z</cp:lastPrinted>
  <dcterms:created xsi:type="dcterms:W3CDTF">2020-11-19T02:30:00Z</dcterms:created>
  <dcterms:modified xsi:type="dcterms:W3CDTF">2020-11-19T02:30:00Z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